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434C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2021级本科《金融工程课程设计》课程教学大纲</w:t>
      </w:r>
    </w:p>
    <w:p w14:paraId="73908097">
      <w:pPr>
        <w:jc w:val="center"/>
        <w:rPr>
          <w:rFonts w:eastAsia="黑体"/>
          <w:b/>
          <w:sz w:val="15"/>
          <w:szCs w:val="15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2892"/>
        <w:gridCol w:w="1062"/>
        <w:gridCol w:w="1890"/>
        <w:gridCol w:w="1140"/>
        <w:gridCol w:w="1630"/>
        <w:gridCol w:w="4295"/>
      </w:tblGrid>
      <w:tr w14:paraId="72951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6D3FB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3EB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FE Course Design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E57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3E5E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C481A2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51F087A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</w:tr>
      <w:tr w14:paraId="1396A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71A2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007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-方正超大字符集"/>
                <w:sz w:val="18"/>
              </w:rPr>
              <w:t>G</w:t>
            </w:r>
            <w:r>
              <w:rPr>
                <w:rFonts w:ascii="宋体-方正超大字符集"/>
                <w:sz w:val="18"/>
              </w:rPr>
              <w:t>705055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F5E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436C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0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ED6342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线上教学学时</w:t>
            </w:r>
            <w:r>
              <w:rPr>
                <w:rFonts w:hint="eastAsia" w:ascii="宋体" w:hAnsi="宋体"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9C91EA">
            <w:pPr>
              <w:jc w:val="center"/>
              <w:rPr>
                <w:rFonts w:ascii="宋体" w:hAnsi="宋体"/>
              </w:rPr>
            </w:pPr>
          </w:p>
        </w:tc>
      </w:tr>
      <w:tr w14:paraId="69A76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572D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4440358">
            <w:pPr>
              <w:pStyle w:val="2"/>
              <w:adjustRightInd w:val="0"/>
              <w:snapToGrid w:val="0"/>
              <w:spacing w:line="360" w:lineRule="auto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经济学院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FAE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  <w:p w14:paraId="17E5F85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6C73D5B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32DB110B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6F56D9B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B7215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494C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94C679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32EE8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金融计量学、金融工程学</w:t>
            </w:r>
          </w:p>
        </w:tc>
      </w:tr>
      <w:tr w14:paraId="733C8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AF0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</w:t>
            </w: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5F097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大类基础课程 </w:t>
            </w:r>
            <w:r>
              <w:rPr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BC88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84CF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C7CFC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6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F83BBA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BC36D1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金融学</w:t>
            </w:r>
          </w:p>
        </w:tc>
      </w:tr>
      <w:tr w14:paraId="008BD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56A540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2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5B38F">
            <w:pPr>
              <w:pStyle w:val="2"/>
              <w:ind w:firstLine="0" w:firstLineChars="0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理论课程     </w:t>
            </w:r>
            <w:r>
              <w:rPr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>实践课程</w:t>
            </w: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63EE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0879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DAA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3062A8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E9B8D63">
            <w:pPr>
              <w:jc w:val="center"/>
              <w:rPr>
                <w:rFonts w:ascii="宋体" w:hAnsi="宋体"/>
              </w:rPr>
            </w:pPr>
          </w:p>
        </w:tc>
      </w:tr>
      <w:tr w14:paraId="6068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4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7B93B">
            <w:pPr>
              <w:jc w:val="center"/>
            </w:pPr>
          </w:p>
        </w:tc>
        <w:tc>
          <w:tcPr>
            <w:tcW w:w="28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C647">
            <w:r>
              <w:rPr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 xml:space="preserve">必修  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E287FD3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开课平台</w:t>
            </w:r>
          </w:p>
        </w:tc>
        <w:tc>
          <w:tcPr>
            <w:tcW w:w="3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2BCA4B6">
            <w:pPr>
              <w:rPr>
                <w:rFonts w:ascii="宋体" w:hAnsi="宋体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A0792B0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课程链接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F934919">
            <w:pPr>
              <w:rPr>
                <w:rFonts w:ascii="宋体" w:hAnsi="宋体"/>
              </w:rPr>
            </w:pPr>
          </w:p>
        </w:tc>
      </w:tr>
      <w:tr w14:paraId="32CF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03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0D5C">
            <w:pPr>
              <w:jc w:val="center"/>
            </w:pPr>
            <w:r>
              <w:rPr>
                <w:rFonts w:hint="eastAsia" w:ascii="宋体" w:hAnsi="宋体"/>
              </w:rPr>
              <w:t>教学类型</w:t>
            </w:r>
            <w:r>
              <w:rPr>
                <w:rFonts w:hint="eastAsia" w:ascii="宋体" w:hAnsi="宋体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001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C3044E3">
            <w:pPr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sym w:font="Wingdings 2" w:char="F052"/>
            </w:r>
            <w:r>
              <w:rPr>
                <w:rFonts w:hint="eastAsia" w:ascii="宋体" w:hAnsi="宋体"/>
              </w:rPr>
              <w:t xml:space="preserve">线下教学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线上线下混合式教学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线上教学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 xml:space="preserve">双语 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 w:ascii="宋体" w:hAnsi="宋体"/>
              </w:rPr>
              <w:t>全英语</w:t>
            </w:r>
          </w:p>
        </w:tc>
      </w:tr>
    </w:tbl>
    <w:p w14:paraId="5B166697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 w14:paraId="056AA1A6"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 xml:space="preserve">  备注：采用线上教学、线上线下混合式教学需经所在学院同意并报教务处审核批准。</w:t>
      </w:r>
    </w:p>
    <w:p w14:paraId="66C81B45">
      <w:pPr>
        <w:pStyle w:val="2"/>
        <w:rPr>
          <w:rFonts w:ascii="宋体" w:hAnsi="宋体"/>
        </w:rPr>
      </w:pPr>
    </w:p>
    <w:p w14:paraId="25CB0839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79074A98">
      <w:pPr>
        <w:pStyle w:val="2"/>
        <w:spacing w:before="120" w:beforeLines="50" w:after="120" w:afterLines="50"/>
        <w:ind w:firstLine="630" w:firstLineChars="300"/>
        <w:rPr>
          <w:rFonts w:ascii="宋体" w:hAnsi="宋体" w:cs="宋体"/>
          <w:b/>
          <w:bCs/>
          <w:color w:val="0000FF"/>
          <w:szCs w:val="21"/>
        </w:rPr>
      </w:pPr>
      <w:r>
        <w:rPr>
          <w:rFonts w:hint="eastAsia" w:ascii="宋体" w:hAnsi="宋体" w:cs="宋体"/>
          <w:szCs w:val="21"/>
        </w:rPr>
        <w:t>课程简介：</w:t>
      </w:r>
      <w:r>
        <w:rPr>
          <w:rFonts w:hint="eastAsia" w:ascii="宋体" w:hAnsi="宋体" w:cs="宋体"/>
          <w:color w:val="0000FF"/>
          <w:szCs w:val="21"/>
        </w:rPr>
        <w:t xml:space="preserve"> </w:t>
      </w:r>
    </w:p>
    <w:p w14:paraId="50431196">
      <w:pPr>
        <w:adjustRightInd w:val="0"/>
        <w:snapToGrid w:val="0"/>
        <w:ind w:left="210" w:leftChars="100" w:firstLine="630" w:firstLineChars="300"/>
        <w:rPr>
          <w:rFonts w:eastAsia="黑体"/>
          <w:b/>
          <w:szCs w:val="21"/>
        </w:rPr>
      </w:pPr>
      <w:r>
        <w:rPr>
          <w:rFonts w:hint="eastAsia" w:ascii="宋体" w:hAnsi="宋体"/>
          <w:szCs w:val="21"/>
        </w:rPr>
        <w:t>金融工程课程设计是针对金融学专业本科的实践类课程，它是将理论用于实践，是</w:t>
      </w:r>
      <w:r>
        <w:rPr>
          <w:rFonts w:hint="eastAsia" w:hAnsi="宋体"/>
          <w:szCs w:val="21"/>
        </w:rPr>
        <w:t>金融工程方法与技巧方面的基本训练课程。</w:t>
      </w:r>
    </w:p>
    <w:p w14:paraId="27C5ABE5">
      <w:pPr>
        <w:pStyle w:val="2"/>
        <w:spacing w:before="120" w:beforeLines="50" w:after="120" w:afterLines="50"/>
        <w:ind w:firstLine="480"/>
        <w:rPr>
          <w:rFonts w:ascii="宋体" w:hAnsi="宋体"/>
          <w:sz w:val="24"/>
        </w:rPr>
      </w:pPr>
    </w:p>
    <w:p w14:paraId="656041A3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二、课程教学目标（课程教学目标应该涵盖知识、能力、素质培养等方面内容）</w:t>
      </w:r>
    </w:p>
    <w:p w14:paraId="0712DA39">
      <w:pPr>
        <w:pStyle w:val="2"/>
        <w:spacing w:before="120" w:beforeLines="50" w:after="120" w:afterLines="5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.1  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课程教学目标</w:t>
      </w:r>
    </w:p>
    <w:p w14:paraId="70F4C423">
      <w:pPr>
        <w:adjustRightInd w:val="0"/>
        <w:snapToGrid w:val="0"/>
        <w:ind w:firstLine="630" w:firstLineChars="300"/>
        <w:rPr>
          <w:rFonts w:ascii="宋体" w:hAnsi="宋体"/>
          <w:color w:val="000000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课程教学目标1：</w:t>
      </w:r>
      <w:r>
        <w:rPr>
          <w:rFonts w:hint="eastAsia" w:ascii="宋体" w:hAnsi="宋体"/>
          <w:color w:val="000000"/>
          <w:szCs w:val="21"/>
        </w:rPr>
        <w:t>熟悉中国衍生品市场的相关制度及其风险因素，</w:t>
      </w:r>
      <w:r>
        <w:rPr>
          <w:rFonts w:ascii="宋体" w:hAnsi="宋体"/>
          <w:color w:val="000000"/>
          <w:szCs w:val="21"/>
        </w:rPr>
        <w:t>掌握金融资产风险度量方法</w:t>
      </w:r>
      <w:r>
        <w:rPr>
          <w:rFonts w:hint="eastAsia" w:ascii="宋体" w:hAnsi="宋体"/>
          <w:color w:val="000000"/>
          <w:szCs w:val="21"/>
        </w:rPr>
        <w:t>。</w:t>
      </w:r>
    </w:p>
    <w:p w14:paraId="121FD064">
      <w:pPr>
        <w:pStyle w:val="2"/>
        <w:adjustRightInd w:val="0"/>
        <w:snapToGrid w:val="0"/>
        <w:spacing w:before="120" w:beforeLines="50" w:after="120" w:afterLines="50"/>
        <w:ind w:firstLine="630" w:firstLineChars="30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课程教学目标2：能</w:t>
      </w:r>
      <w:r>
        <w:rPr>
          <w:rFonts w:ascii="宋体" w:hAnsi="宋体"/>
          <w:color w:val="000000"/>
          <w:szCs w:val="21"/>
        </w:rPr>
        <w:t>熟练运用相关软件进行风险资产收益分析</w:t>
      </w:r>
      <w:r>
        <w:rPr>
          <w:rFonts w:hint="eastAsia" w:ascii="宋体" w:hAnsi="宋体"/>
          <w:color w:val="000000"/>
          <w:szCs w:val="21"/>
        </w:rPr>
        <w:t>、衍生产品定价，以及投资策略绩效分析，提升实践操作能力</w:t>
      </w:r>
      <w:r>
        <w:rPr>
          <w:rFonts w:hint="eastAsia" w:asciiTheme="majorEastAsia" w:hAnsiTheme="majorEastAsia" w:eastAsiaTheme="majorEastAsia" w:cstheme="majorEastAsia"/>
          <w:szCs w:val="21"/>
        </w:rPr>
        <w:t>。</w:t>
      </w:r>
    </w:p>
    <w:p w14:paraId="266A8737">
      <w:pPr>
        <w:pStyle w:val="2"/>
        <w:adjustRightInd w:val="0"/>
        <w:snapToGrid w:val="0"/>
        <w:spacing w:before="120" w:beforeLines="50" w:after="120" w:afterLines="50"/>
        <w:ind w:firstLine="630" w:firstLineChars="300"/>
        <w:rPr>
          <w:rFonts w:asciiTheme="minorEastAsia" w:hAnsiTheme="minorEastAsia" w:eastAsiaTheme="minorEastAsia" w:cstheme="majorEastAsia"/>
          <w:szCs w:val="21"/>
        </w:rPr>
      </w:pPr>
      <w:r>
        <w:rPr>
          <w:rFonts w:hint="eastAsia" w:asciiTheme="minorEastAsia" w:hAnsiTheme="minorEastAsia" w:eastAsiaTheme="minorEastAsia" w:cstheme="majorEastAsia"/>
          <w:szCs w:val="21"/>
        </w:rPr>
        <w:t>课程教学目标3：</w:t>
      </w:r>
      <w:r>
        <w:rPr>
          <w:rFonts w:hint="eastAsia" w:cs="Tahoma" w:asciiTheme="minorEastAsia" w:hAnsiTheme="minorEastAsia" w:eastAsiaTheme="minorEastAsia"/>
          <w:szCs w:val="21"/>
          <w:shd w:val="clear" w:color="auto" w:fill="FFFFFF"/>
        </w:rPr>
        <w:t>熟悉金融产品设计的基本流程和步骤，能够结合社会实际需求，设计金融工程产品，具有一定的创新能力</w:t>
      </w:r>
      <w:r>
        <w:rPr>
          <w:rFonts w:hint="eastAsia" w:asciiTheme="minorEastAsia" w:hAnsiTheme="minorEastAsia" w:eastAsiaTheme="minorEastAsia" w:cstheme="majorEastAsia"/>
          <w:szCs w:val="21"/>
        </w:rPr>
        <w:t>。</w:t>
      </w:r>
    </w:p>
    <w:p w14:paraId="782560B5">
      <w:pPr>
        <w:pStyle w:val="2"/>
        <w:adjustRightInd w:val="0"/>
        <w:snapToGrid w:val="0"/>
        <w:spacing w:before="120" w:beforeLines="50" w:after="120" w:afterLines="50"/>
        <w:ind w:firstLine="630" w:firstLineChars="300"/>
        <w:rPr>
          <w:rFonts w:asciiTheme="minorEastAsia" w:hAnsiTheme="minorEastAsia" w:eastAsiaTheme="minorEastAsia"/>
          <w:szCs w:val="21"/>
        </w:rPr>
      </w:pPr>
    </w:p>
    <w:p w14:paraId="3A789DAD">
      <w:pPr>
        <w:pStyle w:val="2"/>
        <w:spacing w:before="120" w:beforeLines="50" w:after="120" w:afterLines="50" w:line="360" w:lineRule="auto"/>
        <w:ind w:firstLine="723" w:firstLineChars="300"/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.2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课程思政目标（2</w:t>
      </w:r>
      <w:r>
        <w:rPr>
          <w:rFonts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字以上）</w:t>
      </w:r>
    </w:p>
    <w:p w14:paraId="44444C73">
      <w:pPr>
        <w:pStyle w:val="2"/>
        <w:adjustRightInd w:val="0"/>
        <w:snapToGrid w:val="0"/>
        <w:spacing w:before="120" w:beforeLines="50" w:after="120" w:afterLines="50"/>
        <w:ind w:left="134" w:leftChars="64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1、</w:t>
      </w:r>
      <w:r>
        <w:rPr>
          <w:rFonts w:hint="eastAsia" w:cs="宋体" w:asciiTheme="minorEastAsia" w:hAnsiTheme="minorEastAsia"/>
          <w:color w:val="FF0000"/>
          <w:szCs w:val="21"/>
        </w:rPr>
        <w:t>社会责任感</w:t>
      </w:r>
      <w:r>
        <w:rPr>
          <w:rFonts w:hint="eastAsia" w:cs="宋体" w:asciiTheme="minorEastAsia" w:hAnsiTheme="minorEastAsia"/>
          <w:szCs w:val="21"/>
        </w:rPr>
        <w:t>。我国自从加入WTO之后，不断完善多层次多功能的金融市场体系，建立了期货、期权等衍生品市场，交易品种也日益增多，但和发达国家相比还是存在一定的差距。结合中国金融衍生品市场的发展、金融危机，以及衍生品进行实体经济风险管理等现实问题，唤醒学生的忧患意识，培育学生的使命担当精神。</w:t>
      </w:r>
    </w:p>
    <w:p w14:paraId="6C557737">
      <w:pPr>
        <w:pStyle w:val="2"/>
        <w:adjustRightInd w:val="0"/>
        <w:snapToGrid w:val="0"/>
        <w:spacing w:before="120" w:beforeLines="50" w:after="120" w:afterLines="50"/>
        <w:ind w:left="134" w:leftChars="64"/>
        <w:rPr>
          <w:rFonts w:cs="宋体" w:asciiTheme="minorEastAsia" w:hAnsiTheme="minorEastAsia"/>
          <w:szCs w:val="21"/>
        </w:rPr>
      </w:pPr>
      <w:r>
        <w:rPr>
          <w:rFonts w:hint="eastAsia" w:cs="宋体" w:asciiTheme="minorEastAsia" w:hAnsiTheme="minorEastAsia"/>
          <w:szCs w:val="21"/>
        </w:rPr>
        <w:t>2、</w:t>
      </w:r>
      <w:r>
        <w:rPr>
          <w:rFonts w:hint="eastAsia" w:asciiTheme="minorEastAsia" w:hAnsiTheme="minorEastAsia"/>
          <w:color w:val="FF0000"/>
          <w:szCs w:val="21"/>
        </w:rPr>
        <w:t>知行合一</w:t>
      </w:r>
      <w:r>
        <w:rPr>
          <w:rFonts w:hint="eastAsia" w:asciiTheme="minorEastAsia" w:hAnsiTheme="minorEastAsia"/>
          <w:color w:val="000000"/>
          <w:szCs w:val="21"/>
        </w:rPr>
        <w:t>。</w:t>
      </w:r>
      <w:r>
        <w:rPr>
          <w:rFonts w:hint="eastAsia" w:cs="宋体" w:asciiTheme="minorEastAsia" w:hAnsiTheme="minorEastAsia"/>
          <w:szCs w:val="21"/>
        </w:rPr>
        <w:t>通过分析现实投资话题，激发学生的学习兴趣，培养学生运用理论知识分析现实问题的能力，并从话题分析中提炼课程设计分析报告选题，通过师生深度交流，最终形成学生的学习成果和专业能力。</w:t>
      </w:r>
    </w:p>
    <w:p w14:paraId="04ABB422">
      <w:pPr>
        <w:pStyle w:val="2"/>
        <w:adjustRightInd w:val="0"/>
        <w:snapToGrid w:val="0"/>
        <w:spacing w:before="120" w:beforeLines="50" w:after="120" w:afterLines="50"/>
        <w:ind w:left="134" w:leftChars="64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3</w:t>
      </w:r>
      <w:r>
        <w:rPr>
          <w:rFonts w:hint="eastAsia" w:asciiTheme="minorEastAsia" w:hAnsiTheme="minorEastAsia"/>
          <w:szCs w:val="21"/>
        </w:rPr>
        <w:t>、</w:t>
      </w:r>
      <w:r>
        <w:rPr>
          <w:rFonts w:hint="eastAsia" w:asciiTheme="minorEastAsia" w:hAnsiTheme="minorEastAsia"/>
          <w:color w:val="FF0000"/>
          <w:szCs w:val="21"/>
        </w:rPr>
        <w:t>创新精神</w:t>
      </w:r>
      <w:r>
        <w:rPr>
          <w:rFonts w:hint="eastAsia" w:asciiTheme="minorEastAsia" w:hAnsiTheme="minorEastAsia"/>
          <w:szCs w:val="21"/>
        </w:rPr>
        <w:t>。《金融工程学》的理论与实践来源于对金融、经济领域的复杂问题进行分析，并提供创新性的解决策略。通过期货+保险等策略在实体经济运用等案例，激发学生的创新意识；设置金融产品设计任务，培养学生理论用于实践的创新能力。</w:t>
      </w:r>
    </w:p>
    <w:p w14:paraId="78ED6CEE">
      <w:pPr>
        <w:pStyle w:val="2"/>
        <w:adjustRightInd w:val="0"/>
        <w:snapToGrid w:val="0"/>
        <w:spacing w:before="120" w:beforeLines="50" w:after="120" w:afterLines="50"/>
        <w:ind w:left="134" w:leftChars="64" w:firstLine="81" w:firstLineChars="34"/>
        <w:rPr>
          <w:rFonts w:asciiTheme="majorEastAsia" w:hAnsiTheme="majorEastAsia" w:eastAsiaTheme="majorEastAsia" w:cstheme="majorEastAsia"/>
          <w:sz w:val="24"/>
        </w:rPr>
      </w:pPr>
    </w:p>
    <w:p w14:paraId="1A9118F8">
      <w:pPr>
        <w:pStyle w:val="2"/>
        <w:adjustRightInd w:val="0"/>
        <w:snapToGrid w:val="0"/>
        <w:spacing w:before="120" w:beforeLines="50" w:after="120" w:afterLines="50"/>
        <w:ind w:left="134" w:leftChars="64" w:firstLine="82" w:firstLineChars="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三、课程教学目标与毕业要求对应关系</w:t>
      </w:r>
      <w:r>
        <w:rPr>
          <w:rFonts w:hint="eastAsia" w:asciiTheme="majorEastAsia" w:hAnsiTheme="majorEastAsia" w:eastAsiaTheme="majorEastAsia" w:cstheme="majorEastAsia"/>
          <w:color w:val="3366FF"/>
          <w:sz w:val="24"/>
        </w:rPr>
        <w:t xml:space="preserve"> </w:t>
      </w:r>
    </w:p>
    <w:p w14:paraId="6410EC6C">
      <w:pPr>
        <w:pStyle w:val="2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【毕业要求3】应用分析能力：具备对宏观经济现象和金融市场波动进行解读和分析的能力，熟悉金融产品设计和交易的基本原理，能够运用相关理论和方法对本专业领域的问题进行分析。</w:t>
      </w:r>
    </w:p>
    <w:p w14:paraId="16B20DD2">
      <w:pPr>
        <w:pStyle w:val="2"/>
        <w:adjustRightInd w:val="0"/>
        <w:snapToGrid w:val="0"/>
        <w:ind w:firstLine="840" w:firstLineChars="4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【指标点3-3】 能运用文献检索、资料查询的基本方法及现代技术获取相关信息，具有信息分析和研究的能力，并用于金融领域相关的复杂投融资决策问题的分析和推理，获得有效结论。</w:t>
      </w:r>
    </w:p>
    <w:p w14:paraId="22EB1313">
      <w:pPr>
        <w:pStyle w:val="2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【毕业要求5】研究能力与创新意识：了解金融领域的最新发展趋势和理论前沿，具有创新思维，具备科研创新能力和实践创新意识。</w:t>
      </w:r>
    </w:p>
    <w:p w14:paraId="67477D37">
      <w:pPr>
        <w:pStyle w:val="2"/>
        <w:adjustRightInd w:val="0"/>
        <w:snapToGrid w:val="0"/>
        <w:spacing w:before="120" w:beforeLines="50" w:after="120" w:afterLines="50"/>
        <w:ind w:left="134" w:leftChars="64" w:firstLine="701" w:firstLineChars="334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【指标点5-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】 掌握基本的计算数据处理与分析方法，能够对数据进行解释与分析，并通过信息综合分析或实际操作得到合理有效的结论。</w:t>
      </w:r>
    </w:p>
    <w:p w14:paraId="25EFADD7">
      <w:pPr>
        <w:pStyle w:val="2"/>
        <w:adjustRightInd w:val="0"/>
        <w:snapToGrid w:val="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【毕业要求6】使用现代工具：掌握计量分析工具、统计软件和金融科技开发技术，用于对经济、金融数据进行收集、处理、挖掘和分析的能力。</w:t>
      </w:r>
    </w:p>
    <w:p w14:paraId="75E20642">
      <w:pPr>
        <w:pStyle w:val="2"/>
        <w:adjustRightInd w:val="0"/>
        <w:snapToGrid w:val="0"/>
        <w:spacing w:before="120" w:beforeLines="50" w:after="120" w:afterLines="50"/>
        <w:ind w:left="134" w:leftChars="64" w:firstLine="701" w:firstLineChars="334"/>
        <w:rPr>
          <w:rFonts w:asciiTheme="majorEastAsia" w:hAnsiTheme="majorEastAsia" w:eastAsiaTheme="majorEastAsia" w:cstheme="majorEastAsia"/>
          <w:color w:val="3366FF"/>
          <w:sz w:val="24"/>
        </w:rPr>
      </w:pPr>
      <w:r>
        <w:rPr>
          <w:rFonts w:hint="eastAsia" w:ascii="宋体" w:hAnsi="宋体"/>
          <w:szCs w:val="21"/>
        </w:rPr>
        <w:t>【指标点6-2】 能够针对金融领域相关的复杂投融资决策问题，选择与使用恰当的技术手段和金融科技开发工具进行建模、预测与仿真，并能够在实践过程中领会相关工具的局限性。</w:t>
      </w:r>
    </w:p>
    <w:tbl>
      <w:tblPr>
        <w:tblStyle w:val="9"/>
        <w:tblpPr w:leftFromText="180" w:rightFromText="180" w:vertAnchor="text" w:horzAnchor="page" w:tblpX="1368" w:tblpY="408"/>
        <w:tblOverlap w:val="never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934"/>
        <w:gridCol w:w="3172"/>
        <w:gridCol w:w="3402"/>
        <w:gridCol w:w="3260"/>
        <w:gridCol w:w="567"/>
        <w:gridCol w:w="3082"/>
      </w:tblGrid>
      <w:tr w14:paraId="33DBE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269" w:hRule="atLeast"/>
        </w:trPr>
        <w:tc>
          <w:tcPr>
            <w:tcW w:w="934" w:type="dxa"/>
            <w:vAlign w:val="center"/>
          </w:tcPr>
          <w:p w14:paraId="4B779199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序号   </w:t>
            </w:r>
          </w:p>
        </w:tc>
        <w:tc>
          <w:tcPr>
            <w:tcW w:w="3172" w:type="dxa"/>
            <w:vAlign w:val="center"/>
          </w:tcPr>
          <w:p w14:paraId="45197A9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课程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目标</w:t>
            </w:r>
          </w:p>
        </w:tc>
        <w:tc>
          <w:tcPr>
            <w:tcW w:w="3402" w:type="dxa"/>
            <w:vAlign w:val="center"/>
          </w:tcPr>
          <w:p w14:paraId="7D7FDA4C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毕业要求1</w:t>
            </w:r>
          </w:p>
        </w:tc>
        <w:tc>
          <w:tcPr>
            <w:tcW w:w="3260" w:type="dxa"/>
            <w:vAlign w:val="center"/>
          </w:tcPr>
          <w:p w14:paraId="2CE69CB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毕业要求2</w:t>
            </w:r>
          </w:p>
        </w:tc>
        <w:tc>
          <w:tcPr>
            <w:tcW w:w="567" w:type="dxa"/>
            <w:vAlign w:val="center"/>
          </w:tcPr>
          <w:p w14:paraId="2616926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3082" w:type="dxa"/>
            <w:vAlign w:val="center"/>
          </w:tcPr>
          <w:p w14:paraId="4AFBAAF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教学内容（选填）</w:t>
            </w:r>
          </w:p>
        </w:tc>
      </w:tr>
      <w:tr w14:paraId="0D8B6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15F503A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2" w:type="dxa"/>
          </w:tcPr>
          <w:p w14:paraId="61DB0C42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课程教学目标1：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熟悉中国衍生品市场的相关制度及其风险因素，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掌握金融资产风险度量方法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。</w:t>
            </w:r>
          </w:p>
          <w:p w14:paraId="739A4953">
            <w:pPr>
              <w:adjustRightInd w:val="0"/>
              <w:snapToGrid w:val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0FBFAAE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【指标点3-3】 能运用文献检索、资料查询的基本方法及现代技术获取相关信息，具有信息分析和研究的能力，并用于金融领域相关的复杂投融资决策问题的分析和推理，获得有效结论。</w:t>
            </w:r>
          </w:p>
        </w:tc>
        <w:tc>
          <w:tcPr>
            <w:tcW w:w="3260" w:type="dxa"/>
            <w:vAlign w:val="center"/>
          </w:tcPr>
          <w:p w14:paraId="5DCC8CB2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B3E7E4E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77803C04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0D7F7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375A74B1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72" w:type="dxa"/>
            <w:vAlign w:val="center"/>
          </w:tcPr>
          <w:p w14:paraId="243B8DCF">
            <w:pPr>
              <w:pStyle w:val="2"/>
              <w:adjustRightInd w:val="0"/>
              <w:snapToGrid w:val="0"/>
              <w:spacing w:before="120" w:beforeLines="50" w:after="120" w:afterLines="5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theme="majorEastAsia"/>
                <w:sz w:val="18"/>
                <w:szCs w:val="18"/>
              </w:rPr>
              <w:t>课程教学目标2：能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熟练运用相关软件进行风险资产收益分析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，掌握投资策略的设计方法</w:t>
            </w:r>
            <w:r>
              <w:rPr>
                <w:rFonts w:hint="eastAsia" w:ascii="宋体" w:hAnsi="宋体" w:cstheme="majorEastAsia"/>
                <w:sz w:val="18"/>
                <w:szCs w:val="18"/>
              </w:rPr>
              <w:t>并能够针对实际问题，创新性思考可能的解决方案。</w:t>
            </w:r>
          </w:p>
        </w:tc>
        <w:tc>
          <w:tcPr>
            <w:tcW w:w="3402" w:type="dxa"/>
            <w:vAlign w:val="center"/>
          </w:tcPr>
          <w:p w14:paraId="1BBBFA12">
            <w:pPr>
              <w:pStyle w:val="2"/>
              <w:adjustRightInd w:val="0"/>
              <w:snapToGrid w:val="0"/>
              <w:spacing w:before="120" w:beforeLines="50" w:after="120" w:afterLines="50"/>
              <w:ind w:left="134" w:leftChars="64" w:firstLine="0"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【指标点5-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】 掌握基本的计算数据处理与分析方法，能够对数据进行解释与分析，并通过信息综合分析或实际操作得到合理有效的结论。</w:t>
            </w:r>
          </w:p>
        </w:tc>
        <w:tc>
          <w:tcPr>
            <w:tcW w:w="3260" w:type="dxa"/>
            <w:vAlign w:val="center"/>
          </w:tcPr>
          <w:p w14:paraId="15753D0A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DB35A76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74A232B0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  <w:tr w14:paraId="3396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trHeight w:val="397" w:hRule="atLeast"/>
        </w:trPr>
        <w:tc>
          <w:tcPr>
            <w:tcW w:w="934" w:type="dxa"/>
            <w:vAlign w:val="center"/>
          </w:tcPr>
          <w:p w14:paraId="6D2903C2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72" w:type="dxa"/>
            <w:vAlign w:val="center"/>
          </w:tcPr>
          <w:p w14:paraId="5982234F">
            <w:pPr>
              <w:pStyle w:val="2"/>
              <w:adjustRightInd w:val="0"/>
              <w:snapToGrid w:val="0"/>
              <w:spacing w:before="120" w:beforeLines="50" w:after="120" w:afterLines="5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ajorEastAsia"/>
                <w:sz w:val="18"/>
                <w:szCs w:val="18"/>
              </w:rPr>
              <w:t>课程教学目标3：</w:t>
            </w:r>
            <w:r>
              <w:rPr>
                <w:rFonts w:hint="eastAsia" w:cs="Tahoma" w:asciiTheme="minorEastAsia" w:hAnsiTheme="minorEastAsia" w:eastAsiaTheme="minorEastAsia"/>
                <w:sz w:val="18"/>
                <w:szCs w:val="18"/>
                <w:shd w:val="clear" w:color="auto" w:fill="FFFFFF"/>
              </w:rPr>
              <w:t>熟悉金融产品设计的基本流程和步骤，能够结合社会实际需求，设计金融工程产品，具有一定的创新能力</w:t>
            </w:r>
            <w:r>
              <w:rPr>
                <w:rFonts w:hint="eastAsia" w:asciiTheme="minorEastAsia" w:hAnsiTheme="minorEastAsia" w:eastAsiaTheme="minorEastAsia" w:cstheme="majorEastAsia"/>
                <w:sz w:val="18"/>
                <w:szCs w:val="18"/>
              </w:rPr>
              <w:t>。</w:t>
            </w:r>
          </w:p>
        </w:tc>
        <w:tc>
          <w:tcPr>
            <w:tcW w:w="3402" w:type="dxa"/>
            <w:vAlign w:val="center"/>
          </w:tcPr>
          <w:p w14:paraId="70917506">
            <w:pPr>
              <w:pStyle w:val="2"/>
              <w:adjustRightInd w:val="0"/>
              <w:snapToGrid w:val="0"/>
              <w:spacing w:before="120" w:beforeLines="50" w:after="120" w:afterLines="50"/>
              <w:ind w:left="134" w:leftChars="64"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【指标点5-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】 掌握基本的计算数据处理与分析方法，能够对数据进行解释与分析，并通过信息综合分析或实际操作得到合理有效的结论。</w:t>
            </w:r>
          </w:p>
        </w:tc>
        <w:tc>
          <w:tcPr>
            <w:tcW w:w="3260" w:type="dxa"/>
            <w:vAlign w:val="center"/>
          </w:tcPr>
          <w:p w14:paraId="17435387">
            <w:pPr>
              <w:pStyle w:val="2"/>
              <w:adjustRightInd w:val="0"/>
              <w:snapToGrid w:val="0"/>
              <w:ind w:firstLine="0" w:firstLineChars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【指标点6-2】 能够针对金融领域相关的复杂投融资决策问题，选择与使用恰当的技术手段和金融科技开发工具进行建模、预测与仿真，并能够在实践过程中领会相关工具的局限性。</w:t>
            </w:r>
          </w:p>
        </w:tc>
        <w:tc>
          <w:tcPr>
            <w:tcW w:w="567" w:type="dxa"/>
            <w:vAlign w:val="center"/>
          </w:tcPr>
          <w:p w14:paraId="0CE82EB3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082" w:type="dxa"/>
            <w:vAlign w:val="center"/>
          </w:tcPr>
          <w:p w14:paraId="42543589"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eastAsia="黑体"/>
                <w:color w:val="000000"/>
                <w:sz w:val="18"/>
                <w:szCs w:val="18"/>
              </w:rPr>
            </w:pPr>
          </w:p>
        </w:tc>
      </w:tr>
    </w:tbl>
    <w:p w14:paraId="344DD354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28B10F44">
      <w:pPr>
        <w:pStyle w:val="2"/>
        <w:adjustRightInd w:val="0"/>
        <w:snapToGrid w:val="0"/>
        <w:spacing w:before="120" w:beforeLines="50" w:after="120" w:afterLines="50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四、课程教学内容及学时分配</w:t>
      </w:r>
    </w:p>
    <w:p w14:paraId="2BA35DB3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74"/>
        <w:gridCol w:w="1838"/>
        <w:gridCol w:w="1600"/>
        <w:gridCol w:w="625"/>
        <w:gridCol w:w="3599"/>
        <w:gridCol w:w="1400"/>
        <w:gridCol w:w="988"/>
        <w:gridCol w:w="1225"/>
        <w:gridCol w:w="1031"/>
      </w:tblGrid>
      <w:tr w14:paraId="0A455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20" w:type="dxa"/>
            <w:vMerge w:val="restart"/>
            <w:shd w:val="clear" w:color="auto" w:fill="auto"/>
            <w:vAlign w:val="center"/>
          </w:tcPr>
          <w:p w14:paraId="354E6622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374" w:type="dxa"/>
            <w:vMerge w:val="restart"/>
            <w:shd w:val="clear" w:color="auto" w:fill="auto"/>
            <w:vAlign w:val="center"/>
          </w:tcPr>
          <w:p w14:paraId="1BB0F27B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章节或知识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点</w:t>
            </w:r>
          </w:p>
        </w:tc>
        <w:tc>
          <w:tcPr>
            <w:tcW w:w="1838" w:type="dxa"/>
            <w:vMerge w:val="restart"/>
            <w:shd w:val="clear" w:color="auto" w:fill="auto"/>
            <w:vAlign w:val="center"/>
          </w:tcPr>
          <w:p w14:paraId="6E53212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教学内容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062B2E5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教学重点、难点，课程思政要素</w:t>
            </w:r>
          </w:p>
        </w:tc>
        <w:tc>
          <w:tcPr>
            <w:tcW w:w="625" w:type="dxa"/>
            <w:vMerge w:val="restart"/>
            <w:shd w:val="clear" w:color="auto" w:fill="auto"/>
            <w:vAlign w:val="center"/>
          </w:tcPr>
          <w:p w14:paraId="419E2F9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</w:t>
            </w:r>
          </w:p>
          <w:p w14:paraId="6C94F8EA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分配</w:t>
            </w:r>
          </w:p>
        </w:tc>
        <w:tc>
          <w:tcPr>
            <w:tcW w:w="3599" w:type="dxa"/>
            <w:vMerge w:val="restart"/>
            <w:shd w:val="clear" w:color="auto" w:fill="auto"/>
            <w:vAlign w:val="center"/>
          </w:tcPr>
          <w:p w14:paraId="2A1E1E46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607C213E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</w:t>
            </w:r>
          </w:p>
          <w:p w14:paraId="1514421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应包含课程思政要求)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14:paraId="4538E5F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2213" w:type="dxa"/>
            <w:gridSpan w:val="2"/>
            <w:shd w:val="clear" w:color="auto" w:fill="auto"/>
            <w:vAlign w:val="center"/>
          </w:tcPr>
          <w:p w14:paraId="32DA2A1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14:paraId="768E7306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51DF9AE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410EC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20" w:type="dxa"/>
            <w:vMerge w:val="continue"/>
            <w:shd w:val="clear" w:color="auto" w:fill="auto"/>
            <w:vAlign w:val="center"/>
          </w:tcPr>
          <w:p w14:paraId="21A2DDD4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74" w:type="dxa"/>
            <w:vMerge w:val="continue"/>
            <w:shd w:val="clear" w:color="auto" w:fill="auto"/>
            <w:vAlign w:val="center"/>
          </w:tcPr>
          <w:p w14:paraId="0024CC6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38" w:type="dxa"/>
            <w:vMerge w:val="continue"/>
            <w:shd w:val="clear" w:color="auto" w:fill="auto"/>
            <w:vAlign w:val="center"/>
          </w:tcPr>
          <w:p w14:paraId="1EC37D9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00" w:type="dxa"/>
            <w:vMerge w:val="continue"/>
            <w:shd w:val="clear" w:color="auto" w:fill="auto"/>
            <w:vAlign w:val="center"/>
          </w:tcPr>
          <w:p w14:paraId="4CB4E2D7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25" w:type="dxa"/>
            <w:vMerge w:val="continue"/>
            <w:shd w:val="clear" w:color="auto" w:fill="auto"/>
            <w:vAlign w:val="center"/>
          </w:tcPr>
          <w:p w14:paraId="526F3F0D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99" w:type="dxa"/>
            <w:vMerge w:val="continue"/>
            <w:shd w:val="clear" w:color="auto" w:fill="auto"/>
            <w:vAlign w:val="center"/>
          </w:tcPr>
          <w:p w14:paraId="10D2B39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00" w:type="dxa"/>
            <w:vMerge w:val="continue"/>
            <w:shd w:val="clear" w:color="auto" w:fill="auto"/>
            <w:vAlign w:val="center"/>
          </w:tcPr>
          <w:p w14:paraId="7E4131F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26280B09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作业要求</w:t>
            </w:r>
          </w:p>
        </w:tc>
        <w:tc>
          <w:tcPr>
            <w:tcW w:w="1225" w:type="dxa"/>
            <w:shd w:val="clear" w:color="auto" w:fill="auto"/>
            <w:vAlign w:val="center"/>
          </w:tcPr>
          <w:p w14:paraId="693C146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其他要求(自学/讨论）</w:t>
            </w:r>
          </w:p>
        </w:tc>
        <w:tc>
          <w:tcPr>
            <w:tcW w:w="1031" w:type="dxa"/>
            <w:vMerge w:val="continue"/>
            <w:shd w:val="clear" w:color="auto" w:fill="auto"/>
            <w:vAlign w:val="center"/>
          </w:tcPr>
          <w:p w14:paraId="40E8E10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0E4C9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40671290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74" w:type="dxa"/>
            <w:shd w:val="clear" w:color="auto" w:fill="auto"/>
          </w:tcPr>
          <w:p w14:paraId="4D3FEB6A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283717D4"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6499DD15"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7DC349E3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47F692CF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596AE717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14:paraId="753039AA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iCs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14:paraId="56212691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i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50D17399">
            <w:pPr>
              <w:adjustRightInd w:val="0"/>
              <w:snapToGrid w:val="0"/>
              <w:rPr>
                <w:rFonts w:asciiTheme="minorEastAsia" w:hAnsiTheme="minorEastAsia" w:eastAsiaTheme="minorEastAsia"/>
                <w:i/>
                <w:sz w:val="18"/>
                <w:szCs w:val="18"/>
              </w:rPr>
            </w:pPr>
          </w:p>
        </w:tc>
      </w:tr>
      <w:tr w14:paraId="0E6CD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229977C">
            <w:pPr>
              <w:adjustRightInd w:val="0"/>
              <w:snapToGrid w:val="0"/>
              <w:spacing w:line="300" w:lineRule="auto"/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374" w:type="dxa"/>
            <w:shd w:val="clear" w:color="auto" w:fill="auto"/>
          </w:tcPr>
          <w:p w14:paraId="40A56C34"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838" w:type="dxa"/>
            <w:shd w:val="clear" w:color="auto" w:fill="auto"/>
          </w:tcPr>
          <w:p w14:paraId="2534DFFB"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600" w:type="dxa"/>
            <w:shd w:val="clear" w:color="auto" w:fill="auto"/>
            <w:vAlign w:val="center"/>
          </w:tcPr>
          <w:p w14:paraId="788178E5">
            <w:pPr>
              <w:adjustRightInd w:val="0"/>
              <w:snapToGrid w:val="0"/>
              <w:rPr>
                <w:rFonts w:cs="仿宋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625" w:type="dxa"/>
            <w:shd w:val="clear" w:color="auto" w:fill="auto"/>
          </w:tcPr>
          <w:p w14:paraId="1A07EBCB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3599" w:type="dxa"/>
            <w:shd w:val="clear" w:color="auto" w:fill="auto"/>
          </w:tcPr>
          <w:p w14:paraId="3CED954D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00" w:type="dxa"/>
            <w:shd w:val="clear" w:color="auto" w:fill="auto"/>
          </w:tcPr>
          <w:p w14:paraId="01857A8D">
            <w:pPr>
              <w:adjustRightInd w:val="0"/>
              <w:snapToGrid w:val="0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988" w:type="dxa"/>
            <w:shd w:val="clear" w:color="auto" w:fill="auto"/>
          </w:tcPr>
          <w:p w14:paraId="78BB22F3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iCs/>
                <w:sz w:val="18"/>
                <w:szCs w:val="18"/>
              </w:rPr>
            </w:pPr>
          </w:p>
        </w:tc>
        <w:tc>
          <w:tcPr>
            <w:tcW w:w="1225" w:type="dxa"/>
            <w:shd w:val="clear" w:color="auto" w:fill="auto"/>
          </w:tcPr>
          <w:p w14:paraId="3E38B92B">
            <w:pPr>
              <w:adjustRightInd w:val="0"/>
              <w:snapToGrid w:val="0"/>
              <w:rPr>
                <w:rFonts w:cs="宋体" w:asciiTheme="minorEastAsia" w:hAnsiTheme="minorEastAsia" w:eastAsiaTheme="minorEastAsia"/>
                <w:iCs/>
                <w:sz w:val="18"/>
                <w:szCs w:val="18"/>
              </w:rPr>
            </w:pPr>
          </w:p>
        </w:tc>
        <w:tc>
          <w:tcPr>
            <w:tcW w:w="1031" w:type="dxa"/>
            <w:shd w:val="clear" w:color="auto" w:fill="auto"/>
          </w:tcPr>
          <w:p w14:paraId="2124736D">
            <w:pPr>
              <w:adjustRightInd w:val="0"/>
              <w:snapToGrid w:val="0"/>
              <w:rPr>
                <w:rFonts w:asciiTheme="minorEastAsia" w:hAnsiTheme="minorEastAsia" w:eastAsiaTheme="minorEastAsia"/>
                <w:i/>
                <w:sz w:val="18"/>
                <w:szCs w:val="18"/>
              </w:rPr>
            </w:pPr>
          </w:p>
        </w:tc>
      </w:tr>
    </w:tbl>
    <w:p w14:paraId="7546FCC8">
      <w:pPr>
        <w:adjustRightInd w:val="0"/>
        <w:snapToGrid w:val="0"/>
        <w:spacing w:line="300" w:lineRule="auto"/>
        <w:ind w:firstLine="210" w:firstLineChars="1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备注：“所支撑课程目标”内容可直接填写上述第二点“课程教学目标”序号；下同。</w:t>
      </w:r>
    </w:p>
    <w:p w14:paraId="3F5C79EB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4405" w:type="dxa"/>
        <w:tblInd w:w="2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56"/>
        <w:gridCol w:w="1276"/>
        <w:gridCol w:w="992"/>
        <w:gridCol w:w="709"/>
        <w:gridCol w:w="5386"/>
        <w:gridCol w:w="993"/>
        <w:gridCol w:w="1075"/>
        <w:gridCol w:w="1300"/>
      </w:tblGrid>
      <w:tr w14:paraId="54791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18" w:type="dxa"/>
            <w:vAlign w:val="center"/>
          </w:tcPr>
          <w:p w14:paraId="59BE108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856" w:type="dxa"/>
            <w:vAlign w:val="center"/>
          </w:tcPr>
          <w:p w14:paraId="6B8DC57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项  目</w:t>
            </w:r>
          </w:p>
        </w:tc>
        <w:tc>
          <w:tcPr>
            <w:tcW w:w="1276" w:type="dxa"/>
            <w:vAlign w:val="center"/>
          </w:tcPr>
          <w:p w14:paraId="38DC602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学时或周数</w:t>
            </w:r>
          </w:p>
        </w:tc>
        <w:tc>
          <w:tcPr>
            <w:tcW w:w="992" w:type="dxa"/>
            <w:vAlign w:val="center"/>
          </w:tcPr>
          <w:p w14:paraId="7962C6B5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类型</w:t>
            </w:r>
          </w:p>
        </w:tc>
        <w:tc>
          <w:tcPr>
            <w:tcW w:w="709" w:type="dxa"/>
            <w:vAlign w:val="center"/>
          </w:tcPr>
          <w:p w14:paraId="5D6E1393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每组人数</w:t>
            </w:r>
          </w:p>
        </w:tc>
        <w:tc>
          <w:tcPr>
            <w:tcW w:w="5386" w:type="dxa"/>
            <w:vAlign w:val="center"/>
          </w:tcPr>
          <w:p w14:paraId="62F1D820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教学要求</w:t>
            </w:r>
          </w:p>
          <w:p w14:paraId="72FD28C7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（明确知识、能力、素质要求，</w:t>
            </w:r>
          </w:p>
          <w:p w14:paraId="75123C5F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应包含课程思政要求)</w:t>
            </w:r>
          </w:p>
        </w:tc>
        <w:tc>
          <w:tcPr>
            <w:tcW w:w="993" w:type="dxa"/>
            <w:vAlign w:val="center"/>
          </w:tcPr>
          <w:p w14:paraId="57A2FFD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教学方式</w:t>
            </w:r>
          </w:p>
        </w:tc>
        <w:tc>
          <w:tcPr>
            <w:tcW w:w="1075" w:type="dxa"/>
            <w:vAlign w:val="center"/>
          </w:tcPr>
          <w:p w14:paraId="233EF57D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学生任务</w:t>
            </w:r>
          </w:p>
        </w:tc>
        <w:tc>
          <w:tcPr>
            <w:tcW w:w="1300" w:type="dxa"/>
            <w:vAlign w:val="center"/>
          </w:tcPr>
          <w:p w14:paraId="415C905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所支撑</w:t>
            </w:r>
          </w:p>
          <w:p w14:paraId="1719D124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课程目标</w:t>
            </w:r>
            <w:r>
              <w:rPr>
                <w:rFonts w:hint="eastAsia" w:ascii="宋体" w:hAnsi="宋体"/>
                <w:color w:val="000000"/>
                <w:sz w:val="24"/>
                <w:vertAlign w:val="superscript"/>
              </w:rPr>
              <w:t>*</w:t>
            </w:r>
          </w:p>
        </w:tc>
      </w:tr>
      <w:tr w14:paraId="6699D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44916AD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56" w:type="dxa"/>
            <w:vAlign w:val="center"/>
          </w:tcPr>
          <w:p w14:paraId="19BC42CD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金融风险的度量</w:t>
            </w:r>
          </w:p>
        </w:tc>
        <w:tc>
          <w:tcPr>
            <w:tcW w:w="1276" w:type="dxa"/>
            <w:vAlign w:val="center"/>
          </w:tcPr>
          <w:p w14:paraId="665B68A5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 w14:paraId="5BCA684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综合</w:t>
            </w:r>
          </w:p>
        </w:tc>
        <w:tc>
          <w:tcPr>
            <w:tcW w:w="709" w:type="dxa"/>
            <w:vAlign w:val="center"/>
          </w:tcPr>
          <w:p w14:paraId="7F0FE3BA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-5</w:t>
            </w:r>
          </w:p>
        </w:tc>
        <w:tc>
          <w:tcPr>
            <w:tcW w:w="5386" w:type="dxa"/>
          </w:tcPr>
          <w:p w14:paraId="16D07CB9"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熟悉单项金融资产收益率和组合金融资产收益率的统计特征，掌握</w:t>
            </w:r>
            <w:r>
              <w:rPr>
                <w:rFonts w:hint="eastAsia" w:cs="宋体" w:asciiTheme="minorEastAsia" w:hAnsiTheme="minorEastAsia" w:eastAsiaTheme="minorEastAsia"/>
                <w:iCs/>
                <w:sz w:val="18"/>
                <w:szCs w:val="18"/>
              </w:rPr>
              <w:t>金融风险的度量方法（VaR），能运用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相应软件进行操作分析。</w:t>
            </w:r>
          </w:p>
          <w:p w14:paraId="1FA058A6"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思政元素：激发科学精神，提升知行合一能力。</w:t>
            </w:r>
          </w:p>
        </w:tc>
        <w:tc>
          <w:tcPr>
            <w:tcW w:w="993" w:type="dxa"/>
            <w:vAlign w:val="center"/>
          </w:tcPr>
          <w:p w14:paraId="6575985E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操作演示</w:t>
            </w:r>
          </w:p>
        </w:tc>
        <w:tc>
          <w:tcPr>
            <w:tcW w:w="1075" w:type="dxa"/>
            <w:vAlign w:val="center"/>
          </w:tcPr>
          <w:p w14:paraId="6B63339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分析报告</w:t>
            </w:r>
          </w:p>
        </w:tc>
        <w:tc>
          <w:tcPr>
            <w:tcW w:w="1300" w:type="dxa"/>
            <w:vAlign w:val="center"/>
          </w:tcPr>
          <w:p w14:paraId="57BF728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、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</w:tr>
      <w:tr w14:paraId="04C93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818" w:type="dxa"/>
            <w:vAlign w:val="center"/>
          </w:tcPr>
          <w:p w14:paraId="72C7A8FE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56" w:type="dxa"/>
            <w:vAlign w:val="center"/>
          </w:tcPr>
          <w:p w14:paraId="70AB195F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金融工程产品设计</w:t>
            </w:r>
          </w:p>
        </w:tc>
        <w:tc>
          <w:tcPr>
            <w:tcW w:w="1276" w:type="dxa"/>
            <w:vAlign w:val="center"/>
          </w:tcPr>
          <w:p w14:paraId="6EF95083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14:paraId="6D92AD4B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综合</w:t>
            </w:r>
          </w:p>
        </w:tc>
        <w:tc>
          <w:tcPr>
            <w:tcW w:w="709" w:type="dxa"/>
            <w:vAlign w:val="center"/>
          </w:tcPr>
          <w:p w14:paraId="2F0F1241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3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-5</w:t>
            </w:r>
          </w:p>
        </w:tc>
        <w:tc>
          <w:tcPr>
            <w:tcW w:w="5386" w:type="dxa"/>
          </w:tcPr>
          <w:p w14:paraId="1D276CEF">
            <w:pPr>
              <w:adjustRightInd w:val="0"/>
              <w:snapToGrid w:val="0"/>
              <w:spacing w:line="440" w:lineRule="exact"/>
              <w:rPr>
                <w:rFonts w:cs="Tahoma" w:asciiTheme="minorEastAsia" w:hAnsiTheme="minorEastAsia" w:eastAsia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掌握复杂金融问题的分析方法，运用相应软件进行风险收益分析，熟悉金融工程产品设计的基本原理，运用理论模型</w:t>
            </w:r>
            <w:r>
              <w:rPr>
                <w:rFonts w:hint="eastAsia" w:cs="Tahoma" w:asciiTheme="minorEastAsia" w:hAnsiTheme="minorEastAsia" w:eastAsiaTheme="minorEastAsia"/>
                <w:sz w:val="18"/>
                <w:szCs w:val="18"/>
                <w:shd w:val="clear" w:color="auto" w:fill="FFFFFF"/>
              </w:rPr>
              <w:t>对现实问题提出创新性的解决方案。</w:t>
            </w:r>
          </w:p>
          <w:p w14:paraId="703C12C4">
            <w:pPr>
              <w:adjustRightInd w:val="0"/>
              <w:snapToGrid w:val="0"/>
              <w:spacing w:line="440" w:lineRule="exact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cs="Tahoma" w:asciiTheme="minorEastAsia" w:hAnsiTheme="minorEastAsia" w:eastAsiaTheme="minorEastAsia"/>
                <w:color w:val="FF0000"/>
                <w:sz w:val="18"/>
                <w:szCs w:val="18"/>
                <w:shd w:val="clear" w:color="auto" w:fill="FFFFFF"/>
              </w:rPr>
              <w:t>思政元素：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>通过中国期货套保案例讲解，激发社会责任感、</w:t>
            </w:r>
            <w:r>
              <w:rPr>
                <w:rFonts w:hint="eastAsia" w:cs="Tahoma" w:asciiTheme="minorEastAsia" w:hAnsiTheme="minorEastAsia" w:eastAsiaTheme="minorEastAsia"/>
                <w:color w:val="FF0000"/>
                <w:sz w:val="18"/>
                <w:szCs w:val="18"/>
                <w:shd w:val="clear" w:color="auto" w:fill="FFFFFF"/>
              </w:rPr>
              <w:t>科学创新意识，提升知行合一能力。</w:t>
            </w:r>
          </w:p>
        </w:tc>
        <w:tc>
          <w:tcPr>
            <w:tcW w:w="993" w:type="dxa"/>
            <w:vAlign w:val="center"/>
          </w:tcPr>
          <w:p w14:paraId="4BA8CA2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案例讲解</w:t>
            </w:r>
          </w:p>
        </w:tc>
        <w:tc>
          <w:tcPr>
            <w:tcW w:w="1075" w:type="dxa"/>
            <w:vAlign w:val="center"/>
          </w:tcPr>
          <w:p w14:paraId="25606289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设计报告</w:t>
            </w:r>
          </w:p>
        </w:tc>
        <w:tc>
          <w:tcPr>
            <w:tcW w:w="1300" w:type="dxa"/>
            <w:vAlign w:val="center"/>
          </w:tcPr>
          <w:p w14:paraId="7DB0DADD">
            <w:pPr>
              <w:adjustRightInd w:val="0"/>
              <w:snapToGrid w:val="0"/>
              <w:spacing w:line="440" w:lineRule="exact"/>
              <w:jc w:val="center"/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1、2、3</w:t>
            </w:r>
          </w:p>
        </w:tc>
      </w:tr>
    </w:tbl>
    <w:p w14:paraId="36BD8437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74844AF4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123C746B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五、教材及参考书目</w:t>
      </w:r>
    </w:p>
    <w:p w14:paraId="4C419F9C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教材：Options, Futures, and Other Derivatives, John Hull, 清华大学出版社，2</w:t>
      </w:r>
      <w:r>
        <w:rPr>
          <w:szCs w:val="21"/>
        </w:rPr>
        <w:t>017</w:t>
      </w:r>
      <w:r>
        <w:rPr>
          <w:rFonts w:hint="eastAsia"/>
          <w:szCs w:val="21"/>
        </w:rPr>
        <w:t>年，第8版；</w:t>
      </w:r>
    </w:p>
    <w:p w14:paraId="0C950216">
      <w:pPr>
        <w:adjustRightInd w:val="0"/>
        <w:snapToGrid w:val="0"/>
        <w:spacing w:line="360" w:lineRule="auto"/>
        <w:outlineLvl w:val="0"/>
        <w:rPr>
          <w:szCs w:val="21"/>
        </w:rPr>
      </w:pPr>
      <w:r>
        <w:rPr>
          <w:rFonts w:hint="eastAsia"/>
          <w:szCs w:val="21"/>
        </w:rPr>
        <w:t>参考书：</w:t>
      </w:r>
    </w:p>
    <w:p w14:paraId="4B7DB45F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【1】 金融工程学，吴冲锋，中国高等教育出版社，2010年8月</w:t>
      </w:r>
    </w:p>
    <w:p w14:paraId="307D8B10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【2】 金融工程学，洛伦兹</w:t>
      </w:r>
      <w:r>
        <w:rPr>
          <w:rFonts w:hint="eastAsia"/>
          <w:szCs w:val="21"/>
        </w:rPr>
        <w:sym w:font="Symbol" w:char="00D7"/>
      </w:r>
      <w:r>
        <w:rPr>
          <w:rFonts w:hint="eastAsia"/>
          <w:szCs w:val="21"/>
        </w:rPr>
        <w:t>格利茨，经济科学出版社</w:t>
      </w:r>
    </w:p>
    <w:p w14:paraId="5B4CA387">
      <w:pPr>
        <w:adjustRightInd w:val="0"/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【3】 衍生工具与风险管理，Don M. Chance，高等教育出版社</w:t>
      </w:r>
    </w:p>
    <w:p w14:paraId="3B02E02C">
      <w:pPr>
        <w:adjustRightInd w:val="0"/>
        <w:snapToGrid w:val="0"/>
        <w:spacing w:line="30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</w:t>
      </w:r>
    </w:p>
    <w:p w14:paraId="785ECE13">
      <w:pPr>
        <w:adjustRightInd w:val="0"/>
        <w:snapToGrid w:val="0"/>
        <w:spacing w:line="300" w:lineRule="auto"/>
        <w:ind w:firstLine="7469" w:firstLineChars="3100"/>
        <w:rPr>
          <w:b/>
          <w:sz w:val="24"/>
        </w:rPr>
      </w:pPr>
      <w:r>
        <w:rPr>
          <w:rFonts w:hint="eastAsia"/>
          <w:b/>
          <w:sz w:val="24"/>
        </w:rPr>
        <w:t>执笔者：蒋烨</w:t>
      </w:r>
    </w:p>
    <w:p w14:paraId="6814A3CA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7ADC6401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课程教学团队成员：蒋烨、谢月、何新江</w:t>
      </w: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4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868A2"/>
    <w:rsid w:val="000939BC"/>
    <w:rsid w:val="0009695E"/>
    <w:rsid w:val="000A7423"/>
    <w:rsid w:val="000A7DE3"/>
    <w:rsid w:val="000B417D"/>
    <w:rsid w:val="000C5E12"/>
    <w:rsid w:val="000C7527"/>
    <w:rsid w:val="000D4F51"/>
    <w:rsid w:val="000F3317"/>
    <w:rsid w:val="000F6478"/>
    <w:rsid w:val="001066F1"/>
    <w:rsid w:val="0010717A"/>
    <w:rsid w:val="0011480E"/>
    <w:rsid w:val="0012208B"/>
    <w:rsid w:val="00124442"/>
    <w:rsid w:val="00125EA6"/>
    <w:rsid w:val="00131138"/>
    <w:rsid w:val="00141BD6"/>
    <w:rsid w:val="00143954"/>
    <w:rsid w:val="001459F4"/>
    <w:rsid w:val="00147203"/>
    <w:rsid w:val="001555C8"/>
    <w:rsid w:val="00163C1B"/>
    <w:rsid w:val="00163F53"/>
    <w:rsid w:val="00176FE6"/>
    <w:rsid w:val="00183C62"/>
    <w:rsid w:val="00196463"/>
    <w:rsid w:val="001A0A34"/>
    <w:rsid w:val="001C551A"/>
    <w:rsid w:val="001D1EDF"/>
    <w:rsid w:val="001D230A"/>
    <w:rsid w:val="001D79C7"/>
    <w:rsid w:val="001E3935"/>
    <w:rsid w:val="001E6FD7"/>
    <w:rsid w:val="001E78C8"/>
    <w:rsid w:val="001F35BD"/>
    <w:rsid w:val="001F7410"/>
    <w:rsid w:val="001F76D3"/>
    <w:rsid w:val="00204CCA"/>
    <w:rsid w:val="00207B58"/>
    <w:rsid w:val="002118A7"/>
    <w:rsid w:val="00227DD9"/>
    <w:rsid w:val="00230E81"/>
    <w:rsid w:val="00235BD9"/>
    <w:rsid w:val="002533F4"/>
    <w:rsid w:val="002619B5"/>
    <w:rsid w:val="00273116"/>
    <w:rsid w:val="0029489B"/>
    <w:rsid w:val="002967A7"/>
    <w:rsid w:val="002978C7"/>
    <w:rsid w:val="002C3367"/>
    <w:rsid w:val="002C7C16"/>
    <w:rsid w:val="002D2B14"/>
    <w:rsid w:val="002E59C8"/>
    <w:rsid w:val="002E7D72"/>
    <w:rsid w:val="00307640"/>
    <w:rsid w:val="00334DE6"/>
    <w:rsid w:val="0036075F"/>
    <w:rsid w:val="00365E45"/>
    <w:rsid w:val="00371BD7"/>
    <w:rsid w:val="00374E60"/>
    <w:rsid w:val="00377064"/>
    <w:rsid w:val="00390FF4"/>
    <w:rsid w:val="003924A4"/>
    <w:rsid w:val="003A0CCA"/>
    <w:rsid w:val="003A63D1"/>
    <w:rsid w:val="003A6A5E"/>
    <w:rsid w:val="003A73A7"/>
    <w:rsid w:val="003C4A25"/>
    <w:rsid w:val="003D3FAC"/>
    <w:rsid w:val="003D4306"/>
    <w:rsid w:val="003D45B0"/>
    <w:rsid w:val="003E4656"/>
    <w:rsid w:val="003F263E"/>
    <w:rsid w:val="003F57AA"/>
    <w:rsid w:val="003F6A93"/>
    <w:rsid w:val="00414D10"/>
    <w:rsid w:val="00417DDA"/>
    <w:rsid w:val="0042114A"/>
    <w:rsid w:val="00427FFA"/>
    <w:rsid w:val="0044365E"/>
    <w:rsid w:val="0044753F"/>
    <w:rsid w:val="004604FB"/>
    <w:rsid w:val="00461184"/>
    <w:rsid w:val="004622BD"/>
    <w:rsid w:val="00466B49"/>
    <w:rsid w:val="0047267F"/>
    <w:rsid w:val="00483003"/>
    <w:rsid w:val="004B4859"/>
    <w:rsid w:val="004D16A1"/>
    <w:rsid w:val="004E3668"/>
    <w:rsid w:val="004F4EDC"/>
    <w:rsid w:val="00502AC9"/>
    <w:rsid w:val="0052328F"/>
    <w:rsid w:val="005345E8"/>
    <w:rsid w:val="00535BD8"/>
    <w:rsid w:val="00537825"/>
    <w:rsid w:val="00552965"/>
    <w:rsid w:val="00552F3A"/>
    <w:rsid w:val="00565758"/>
    <w:rsid w:val="00567711"/>
    <w:rsid w:val="00582422"/>
    <w:rsid w:val="00582C67"/>
    <w:rsid w:val="005A457B"/>
    <w:rsid w:val="005B3887"/>
    <w:rsid w:val="005B3EDE"/>
    <w:rsid w:val="005B5567"/>
    <w:rsid w:val="005C1808"/>
    <w:rsid w:val="005C3266"/>
    <w:rsid w:val="005C37E7"/>
    <w:rsid w:val="005C7D6E"/>
    <w:rsid w:val="005D4E50"/>
    <w:rsid w:val="006116F6"/>
    <w:rsid w:val="00611AF3"/>
    <w:rsid w:val="00621AE7"/>
    <w:rsid w:val="00622935"/>
    <w:rsid w:val="00630E33"/>
    <w:rsid w:val="00630FB9"/>
    <w:rsid w:val="006325E4"/>
    <w:rsid w:val="00635A26"/>
    <w:rsid w:val="006527DD"/>
    <w:rsid w:val="006530D9"/>
    <w:rsid w:val="00660AE9"/>
    <w:rsid w:val="006622DA"/>
    <w:rsid w:val="00677800"/>
    <w:rsid w:val="00681D86"/>
    <w:rsid w:val="00692DD1"/>
    <w:rsid w:val="006935DD"/>
    <w:rsid w:val="006C5D75"/>
    <w:rsid w:val="006C6FEC"/>
    <w:rsid w:val="006D3396"/>
    <w:rsid w:val="006F0CB5"/>
    <w:rsid w:val="006F1D33"/>
    <w:rsid w:val="007067A3"/>
    <w:rsid w:val="00707EB7"/>
    <w:rsid w:val="00715FD2"/>
    <w:rsid w:val="00717889"/>
    <w:rsid w:val="00735A8E"/>
    <w:rsid w:val="00743AB6"/>
    <w:rsid w:val="00744F44"/>
    <w:rsid w:val="00746FEF"/>
    <w:rsid w:val="0075105D"/>
    <w:rsid w:val="00772FFC"/>
    <w:rsid w:val="0078103B"/>
    <w:rsid w:val="007A641F"/>
    <w:rsid w:val="007B581F"/>
    <w:rsid w:val="007B5ECD"/>
    <w:rsid w:val="007C0310"/>
    <w:rsid w:val="007C1DE5"/>
    <w:rsid w:val="007E2C11"/>
    <w:rsid w:val="007F521A"/>
    <w:rsid w:val="007F556D"/>
    <w:rsid w:val="007F6859"/>
    <w:rsid w:val="00817191"/>
    <w:rsid w:val="00822A58"/>
    <w:rsid w:val="00822C6F"/>
    <w:rsid w:val="008231F0"/>
    <w:rsid w:val="00823327"/>
    <w:rsid w:val="00831558"/>
    <w:rsid w:val="00834031"/>
    <w:rsid w:val="00836C46"/>
    <w:rsid w:val="008409D8"/>
    <w:rsid w:val="00844DBF"/>
    <w:rsid w:val="00847A62"/>
    <w:rsid w:val="0085469D"/>
    <w:rsid w:val="00854DA0"/>
    <w:rsid w:val="00860E78"/>
    <w:rsid w:val="00866D3E"/>
    <w:rsid w:val="00866DA3"/>
    <w:rsid w:val="008751D6"/>
    <w:rsid w:val="008777DC"/>
    <w:rsid w:val="008826F8"/>
    <w:rsid w:val="0088682E"/>
    <w:rsid w:val="00887C1E"/>
    <w:rsid w:val="0089421A"/>
    <w:rsid w:val="008A79DD"/>
    <w:rsid w:val="008B2AB2"/>
    <w:rsid w:val="008B538C"/>
    <w:rsid w:val="008C2FE7"/>
    <w:rsid w:val="008C3039"/>
    <w:rsid w:val="008C48E1"/>
    <w:rsid w:val="008C54D7"/>
    <w:rsid w:val="008D2CB2"/>
    <w:rsid w:val="008D54C2"/>
    <w:rsid w:val="008E17B3"/>
    <w:rsid w:val="008E5C5F"/>
    <w:rsid w:val="008E6748"/>
    <w:rsid w:val="008E6CC5"/>
    <w:rsid w:val="008E767F"/>
    <w:rsid w:val="00900C68"/>
    <w:rsid w:val="009216B5"/>
    <w:rsid w:val="00935C36"/>
    <w:rsid w:val="00936D04"/>
    <w:rsid w:val="0095304F"/>
    <w:rsid w:val="00967649"/>
    <w:rsid w:val="00975BD4"/>
    <w:rsid w:val="0098490F"/>
    <w:rsid w:val="009A155F"/>
    <w:rsid w:val="009B2CAC"/>
    <w:rsid w:val="009B439E"/>
    <w:rsid w:val="009C4E59"/>
    <w:rsid w:val="009E1A86"/>
    <w:rsid w:val="009E64F8"/>
    <w:rsid w:val="009F067D"/>
    <w:rsid w:val="00A125DD"/>
    <w:rsid w:val="00A127DB"/>
    <w:rsid w:val="00A405B3"/>
    <w:rsid w:val="00A41E3D"/>
    <w:rsid w:val="00A438F3"/>
    <w:rsid w:val="00A4555B"/>
    <w:rsid w:val="00A505FB"/>
    <w:rsid w:val="00A5392A"/>
    <w:rsid w:val="00A61637"/>
    <w:rsid w:val="00A62730"/>
    <w:rsid w:val="00A642A2"/>
    <w:rsid w:val="00A655D8"/>
    <w:rsid w:val="00A7293F"/>
    <w:rsid w:val="00A73D35"/>
    <w:rsid w:val="00A84C3A"/>
    <w:rsid w:val="00A877CC"/>
    <w:rsid w:val="00A87842"/>
    <w:rsid w:val="00AA4ACB"/>
    <w:rsid w:val="00AC7EEB"/>
    <w:rsid w:val="00AD3C33"/>
    <w:rsid w:val="00AE0AE3"/>
    <w:rsid w:val="00AE15DA"/>
    <w:rsid w:val="00AF2AAF"/>
    <w:rsid w:val="00AF4CD8"/>
    <w:rsid w:val="00B0291A"/>
    <w:rsid w:val="00B20CBF"/>
    <w:rsid w:val="00B23D51"/>
    <w:rsid w:val="00B35A0F"/>
    <w:rsid w:val="00B3667B"/>
    <w:rsid w:val="00B4038A"/>
    <w:rsid w:val="00B449A8"/>
    <w:rsid w:val="00B463E6"/>
    <w:rsid w:val="00B62020"/>
    <w:rsid w:val="00B7082D"/>
    <w:rsid w:val="00B74C58"/>
    <w:rsid w:val="00B773E0"/>
    <w:rsid w:val="00B8296F"/>
    <w:rsid w:val="00B8574F"/>
    <w:rsid w:val="00B93441"/>
    <w:rsid w:val="00BA5297"/>
    <w:rsid w:val="00BB010D"/>
    <w:rsid w:val="00BB070C"/>
    <w:rsid w:val="00BD7184"/>
    <w:rsid w:val="00BE24D6"/>
    <w:rsid w:val="00BE3CDB"/>
    <w:rsid w:val="00BE60B1"/>
    <w:rsid w:val="00C1445F"/>
    <w:rsid w:val="00C14912"/>
    <w:rsid w:val="00C23ACF"/>
    <w:rsid w:val="00C25302"/>
    <w:rsid w:val="00C2657F"/>
    <w:rsid w:val="00C306F2"/>
    <w:rsid w:val="00C40D05"/>
    <w:rsid w:val="00C47EE0"/>
    <w:rsid w:val="00C54BA1"/>
    <w:rsid w:val="00C63DFC"/>
    <w:rsid w:val="00C8480C"/>
    <w:rsid w:val="00C9506C"/>
    <w:rsid w:val="00C95A38"/>
    <w:rsid w:val="00CA423D"/>
    <w:rsid w:val="00CA42E5"/>
    <w:rsid w:val="00CB6531"/>
    <w:rsid w:val="00CC5569"/>
    <w:rsid w:val="00CD4D22"/>
    <w:rsid w:val="00CF00AA"/>
    <w:rsid w:val="00CF6B55"/>
    <w:rsid w:val="00D03D52"/>
    <w:rsid w:val="00D07AB3"/>
    <w:rsid w:val="00D13172"/>
    <w:rsid w:val="00D14AB7"/>
    <w:rsid w:val="00D17221"/>
    <w:rsid w:val="00D17347"/>
    <w:rsid w:val="00D216BB"/>
    <w:rsid w:val="00D513E4"/>
    <w:rsid w:val="00D55CBF"/>
    <w:rsid w:val="00D55D86"/>
    <w:rsid w:val="00D729C5"/>
    <w:rsid w:val="00D759FB"/>
    <w:rsid w:val="00DA7043"/>
    <w:rsid w:val="00DB0A3F"/>
    <w:rsid w:val="00DB1C46"/>
    <w:rsid w:val="00DB445F"/>
    <w:rsid w:val="00DC6077"/>
    <w:rsid w:val="00DC76A8"/>
    <w:rsid w:val="00DD24F0"/>
    <w:rsid w:val="00DD5093"/>
    <w:rsid w:val="00DE6AD0"/>
    <w:rsid w:val="00DE6C0E"/>
    <w:rsid w:val="00DF55D7"/>
    <w:rsid w:val="00E00F8B"/>
    <w:rsid w:val="00E1156E"/>
    <w:rsid w:val="00E32BAA"/>
    <w:rsid w:val="00E3536A"/>
    <w:rsid w:val="00E427FC"/>
    <w:rsid w:val="00E435CC"/>
    <w:rsid w:val="00E504A0"/>
    <w:rsid w:val="00E51C9D"/>
    <w:rsid w:val="00E6163D"/>
    <w:rsid w:val="00E666AC"/>
    <w:rsid w:val="00E669C7"/>
    <w:rsid w:val="00E720F5"/>
    <w:rsid w:val="00E73CF8"/>
    <w:rsid w:val="00E923AF"/>
    <w:rsid w:val="00EA40A7"/>
    <w:rsid w:val="00EB0693"/>
    <w:rsid w:val="00EB26C3"/>
    <w:rsid w:val="00EB7483"/>
    <w:rsid w:val="00ED0180"/>
    <w:rsid w:val="00ED2BC4"/>
    <w:rsid w:val="00ED351D"/>
    <w:rsid w:val="00EE158E"/>
    <w:rsid w:val="00EF06FB"/>
    <w:rsid w:val="00EF29F1"/>
    <w:rsid w:val="00F00A57"/>
    <w:rsid w:val="00F21B7A"/>
    <w:rsid w:val="00F22D42"/>
    <w:rsid w:val="00F23C13"/>
    <w:rsid w:val="00F35DB3"/>
    <w:rsid w:val="00F362D0"/>
    <w:rsid w:val="00F43A6F"/>
    <w:rsid w:val="00F50CF9"/>
    <w:rsid w:val="00F65575"/>
    <w:rsid w:val="00F66181"/>
    <w:rsid w:val="00F67B45"/>
    <w:rsid w:val="00F80710"/>
    <w:rsid w:val="00F90120"/>
    <w:rsid w:val="00FB1962"/>
    <w:rsid w:val="00FB7A22"/>
    <w:rsid w:val="00FC6822"/>
    <w:rsid w:val="00FF4533"/>
    <w:rsid w:val="018B1F6C"/>
    <w:rsid w:val="02614FC7"/>
    <w:rsid w:val="027754FB"/>
    <w:rsid w:val="03A76077"/>
    <w:rsid w:val="04290527"/>
    <w:rsid w:val="04347519"/>
    <w:rsid w:val="04D343E0"/>
    <w:rsid w:val="059A4101"/>
    <w:rsid w:val="05CE7F14"/>
    <w:rsid w:val="05E9145B"/>
    <w:rsid w:val="061B4D44"/>
    <w:rsid w:val="06C76C7A"/>
    <w:rsid w:val="07B812A2"/>
    <w:rsid w:val="07C92B37"/>
    <w:rsid w:val="07FB6BDB"/>
    <w:rsid w:val="09502499"/>
    <w:rsid w:val="0AAC17BA"/>
    <w:rsid w:val="0C343B59"/>
    <w:rsid w:val="0CA96841"/>
    <w:rsid w:val="0CBE5FE1"/>
    <w:rsid w:val="0D244E26"/>
    <w:rsid w:val="0D5A22B7"/>
    <w:rsid w:val="0E1F2DF8"/>
    <w:rsid w:val="0F3A0931"/>
    <w:rsid w:val="0FAA5BB1"/>
    <w:rsid w:val="0FEF171B"/>
    <w:rsid w:val="0FF80B78"/>
    <w:rsid w:val="10A9313E"/>
    <w:rsid w:val="113969C6"/>
    <w:rsid w:val="11DA3C43"/>
    <w:rsid w:val="120F1308"/>
    <w:rsid w:val="136939DE"/>
    <w:rsid w:val="13B970BE"/>
    <w:rsid w:val="14765F59"/>
    <w:rsid w:val="14BB5F83"/>
    <w:rsid w:val="156E6226"/>
    <w:rsid w:val="17F001E9"/>
    <w:rsid w:val="19766A09"/>
    <w:rsid w:val="198C7FDB"/>
    <w:rsid w:val="19910B53"/>
    <w:rsid w:val="1BFD0D1C"/>
    <w:rsid w:val="1BFF20F5"/>
    <w:rsid w:val="1D3137F6"/>
    <w:rsid w:val="1E012EBC"/>
    <w:rsid w:val="1F7B5CB2"/>
    <w:rsid w:val="1FA26CB0"/>
    <w:rsid w:val="1FD33F87"/>
    <w:rsid w:val="20334D0F"/>
    <w:rsid w:val="247030BC"/>
    <w:rsid w:val="24B623B0"/>
    <w:rsid w:val="24DB5714"/>
    <w:rsid w:val="25070E5D"/>
    <w:rsid w:val="275C6092"/>
    <w:rsid w:val="279871A5"/>
    <w:rsid w:val="28BE1D17"/>
    <w:rsid w:val="29A9551B"/>
    <w:rsid w:val="2A005FEE"/>
    <w:rsid w:val="2A1D3926"/>
    <w:rsid w:val="2A750533"/>
    <w:rsid w:val="2AB949A8"/>
    <w:rsid w:val="2AF24F2E"/>
    <w:rsid w:val="2AF802D2"/>
    <w:rsid w:val="2B442798"/>
    <w:rsid w:val="2B86207F"/>
    <w:rsid w:val="2BE2764E"/>
    <w:rsid w:val="2C372028"/>
    <w:rsid w:val="2CDE7C26"/>
    <w:rsid w:val="2D3571CF"/>
    <w:rsid w:val="2D7D0952"/>
    <w:rsid w:val="2D8D7A26"/>
    <w:rsid w:val="2DB17BB8"/>
    <w:rsid w:val="2DF80288"/>
    <w:rsid w:val="2F0D5BDD"/>
    <w:rsid w:val="303F600B"/>
    <w:rsid w:val="30B336F9"/>
    <w:rsid w:val="30D32C5B"/>
    <w:rsid w:val="31E60E9F"/>
    <w:rsid w:val="32CD3E28"/>
    <w:rsid w:val="339B6ADF"/>
    <w:rsid w:val="340329A9"/>
    <w:rsid w:val="34945433"/>
    <w:rsid w:val="34FFD24C"/>
    <w:rsid w:val="35FD60BC"/>
    <w:rsid w:val="385D038F"/>
    <w:rsid w:val="399B0A74"/>
    <w:rsid w:val="3B8C3A12"/>
    <w:rsid w:val="3C685AAF"/>
    <w:rsid w:val="3D97320D"/>
    <w:rsid w:val="3D983256"/>
    <w:rsid w:val="3DB72694"/>
    <w:rsid w:val="3DE43D0A"/>
    <w:rsid w:val="4004334A"/>
    <w:rsid w:val="40167D4F"/>
    <w:rsid w:val="40833636"/>
    <w:rsid w:val="410A1661"/>
    <w:rsid w:val="42411C0E"/>
    <w:rsid w:val="42545136"/>
    <w:rsid w:val="43911BC6"/>
    <w:rsid w:val="443C5AF9"/>
    <w:rsid w:val="44FB3BE9"/>
    <w:rsid w:val="4638301C"/>
    <w:rsid w:val="472E365B"/>
    <w:rsid w:val="47332F94"/>
    <w:rsid w:val="47936AE8"/>
    <w:rsid w:val="47A01627"/>
    <w:rsid w:val="47EA5664"/>
    <w:rsid w:val="48B01AFF"/>
    <w:rsid w:val="49DC1A60"/>
    <w:rsid w:val="4C107D48"/>
    <w:rsid w:val="4C602A7D"/>
    <w:rsid w:val="4C6D6532"/>
    <w:rsid w:val="4F02606E"/>
    <w:rsid w:val="4FA17635"/>
    <w:rsid w:val="4FEF564F"/>
    <w:rsid w:val="50900977"/>
    <w:rsid w:val="51192F91"/>
    <w:rsid w:val="511C43E3"/>
    <w:rsid w:val="521036D6"/>
    <w:rsid w:val="525F49CC"/>
    <w:rsid w:val="53647C0D"/>
    <w:rsid w:val="53962D77"/>
    <w:rsid w:val="53C83285"/>
    <w:rsid w:val="542843B4"/>
    <w:rsid w:val="542E6703"/>
    <w:rsid w:val="5450136F"/>
    <w:rsid w:val="56AC01D3"/>
    <w:rsid w:val="583E06A5"/>
    <w:rsid w:val="58F76F6F"/>
    <w:rsid w:val="5B04316E"/>
    <w:rsid w:val="5C0E52A6"/>
    <w:rsid w:val="5C203C2E"/>
    <w:rsid w:val="5C7B3922"/>
    <w:rsid w:val="5CCD5897"/>
    <w:rsid w:val="5F8C2FB1"/>
    <w:rsid w:val="61282528"/>
    <w:rsid w:val="612C7949"/>
    <w:rsid w:val="62CC27C3"/>
    <w:rsid w:val="64CF2E8C"/>
    <w:rsid w:val="64D2010A"/>
    <w:rsid w:val="65E7567D"/>
    <w:rsid w:val="65EB7404"/>
    <w:rsid w:val="65F80A24"/>
    <w:rsid w:val="665D7C7E"/>
    <w:rsid w:val="66BD6E06"/>
    <w:rsid w:val="67041255"/>
    <w:rsid w:val="67AC671F"/>
    <w:rsid w:val="67DE02D8"/>
    <w:rsid w:val="684D352F"/>
    <w:rsid w:val="6939071B"/>
    <w:rsid w:val="69DF2E4B"/>
    <w:rsid w:val="6A5F216E"/>
    <w:rsid w:val="6B0C22B0"/>
    <w:rsid w:val="6B377EA3"/>
    <w:rsid w:val="6C057667"/>
    <w:rsid w:val="6CD32EF3"/>
    <w:rsid w:val="6CFA4594"/>
    <w:rsid w:val="6D8F4E95"/>
    <w:rsid w:val="6DFB0400"/>
    <w:rsid w:val="6EB04C24"/>
    <w:rsid w:val="6FD0034C"/>
    <w:rsid w:val="6FD14B4C"/>
    <w:rsid w:val="70FC3229"/>
    <w:rsid w:val="71072DAB"/>
    <w:rsid w:val="71E01DE7"/>
    <w:rsid w:val="72492030"/>
    <w:rsid w:val="728271B6"/>
    <w:rsid w:val="72F009A0"/>
    <w:rsid w:val="74C838E9"/>
    <w:rsid w:val="74EE1937"/>
    <w:rsid w:val="7567561F"/>
    <w:rsid w:val="765761A5"/>
    <w:rsid w:val="76C76199"/>
    <w:rsid w:val="77FF972F"/>
    <w:rsid w:val="79116D1B"/>
    <w:rsid w:val="7A8428C7"/>
    <w:rsid w:val="7AAE7E2E"/>
    <w:rsid w:val="7C1A66A5"/>
    <w:rsid w:val="7EF14CDF"/>
    <w:rsid w:val="7FD2081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Emphasis"/>
    <w:basedOn w:val="11"/>
    <w:qFormat/>
    <w:uiPriority w:val="0"/>
    <w:rPr>
      <w:i/>
      <w:iCs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页眉 字符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wf</Company>
  <Pages>5</Pages>
  <Words>2697</Words>
  <Characters>2809</Characters>
  <Lines>23</Lines>
  <Paragraphs>6</Paragraphs>
  <TotalTime>16</TotalTime>
  <ScaleCrop>false</ScaleCrop>
  <LinksUpToDate>false</LinksUpToDate>
  <CharactersWithSpaces>3055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2023-04-23T08:23:00Z</dcterms:created>
  <dc:creator>hg</dc:creator>
  <cp:lastModifiedBy>陈璐(chenl)</cp:lastModifiedBy>
  <cp:lastPrinted>2021-11-15T00:49:00Z</cp:lastPrinted>
  <dcterms:modified xsi:type="dcterms:W3CDTF">2024-11-20T02:14:07Z</dcterms:modified>
  <dc:title>（课程名称）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CD57B3FFD7434854A2D9301C6D36E62A</vt:lpwstr>
  </property>
</Properties>
</file>