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仿宋"/>
          <w:sz w:val="32"/>
          <w:szCs w:val="30"/>
        </w:rPr>
      </w:pPr>
      <w:r>
        <w:rPr>
          <w:rFonts w:hint="eastAsia" w:ascii="Times New Roman" w:hAnsi="Times New Roman" w:eastAsia="黑体" w:cs="仿宋"/>
          <w:sz w:val="32"/>
          <w:szCs w:val="30"/>
        </w:rPr>
        <w:t>附件1</w:t>
      </w:r>
    </w:p>
    <w:p>
      <w:pPr>
        <w:spacing w:line="560" w:lineRule="exact"/>
        <w:jc w:val="left"/>
        <w:rPr>
          <w:rFonts w:ascii="Times New Roman" w:hAnsi="Times New Roman" w:eastAsia="黑体" w:cs="仿宋"/>
          <w:sz w:val="32"/>
          <w:szCs w:val="30"/>
        </w:rPr>
      </w:pPr>
    </w:p>
    <w:p>
      <w:pPr>
        <w:spacing w:before="156" w:beforeLines="50" w:after="78" w:afterLines="25" w:line="560" w:lineRule="exact"/>
        <w:jc w:val="center"/>
        <w:rPr>
          <w:rFonts w:ascii="Times New Roman" w:hAnsi="Times New Roman" w:eastAsia="方正小标宋简体" w:cs="Times New Roman"/>
          <w:bCs/>
          <w:sz w:val="44"/>
        </w:rPr>
      </w:pPr>
      <w:bookmarkStart w:id="0" w:name="_Hlk137707656"/>
      <w:r>
        <w:rPr>
          <w:rFonts w:ascii="Times New Roman" w:hAnsi="Times New Roman" w:eastAsia="方正小标宋简体" w:cs="Times New Roman"/>
          <w:bCs/>
          <w:sz w:val="44"/>
        </w:rPr>
        <w:t>作品文本评分标准表</w:t>
      </w:r>
      <w:bookmarkEnd w:id="0"/>
    </w:p>
    <w:p>
      <w:pPr>
        <w:spacing w:before="156" w:beforeLines="50" w:after="78" w:afterLines="25" w:line="560" w:lineRule="exact"/>
        <w:jc w:val="center"/>
        <w:rPr>
          <w:rFonts w:ascii="Times New Roman" w:hAnsi="Times New Roman" w:eastAsia="方正小标宋简体" w:cs="Times New Roman"/>
          <w:bCs/>
          <w:sz w:val="44"/>
        </w:rPr>
      </w:pPr>
    </w:p>
    <w:tbl>
      <w:tblPr>
        <w:tblStyle w:val="5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6"/>
        <w:gridCol w:w="1004"/>
        <w:gridCol w:w="3212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80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0"/>
              </w:rPr>
              <w:t>A类.金融创新产品设计</w:t>
            </w:r>
          </w:p>
        </w:tc>
        <w:tc>
          <w:tcPr>
            <w:tcW w:w="421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0"/>
              </w:rPr>
              <w:t>B类.金融创新案例分析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7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0"/>
              </w:rPr>
              <w:t>评分项目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0"/>
              </w:rPr>
              <w:t>权重</w:t>
            </w:r>
          </w:p>
        </w:tc>
        <w:tc>
          <w:tcPr>
            <w:tcW w:w="321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0"/>
              </w:rPr>
              <w:t>评分项目</w:t>
            </w:r>
          </w:p>
        </w:tc>
        <w:tc>
          <w:tcPr>
            <w:tcW w:w="10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0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7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0"/>
              </w:rPr>
              <w:t>完整性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0"/>
              </w:rPr>
              <w:t>10%</w:t>
            </w:r>
          </w:p>
        </w:tc>
        <w:tc>
          <w:tcPr>
            <w:tcW w:w="321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0"/>
              </w:rPr>
              <w:t>选题意义</w:t>
            </w:r>
          </w:p>
        </w:tc>
        <w:tc>
          <w:tcPr>
            <w:tcW w:w="10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7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0"/>
              </w:rPr>
              <w:t>创新性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0"/>
              </w:rPr>
              <w:t>30%</w:t>
            </w:r>
          </w:p>
        </w:tc>
        <w:tc>
          <w:tcPr>
            <w:tcW w:w="321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0"/>
              </w:rPr>
              <w:t>创新性</w:t>
            </w:r>
          </w:p>
        </w:tc>
        <w:tc>
          <w:tcPr>
            <w:tcW w:w="10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0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7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0"/>
              </w:rPr>
              <w:t>可行性与实用性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0"/>
              </w:rPr>
              <w:t>35%</w:t>
            </w:r>
          </w:p>
        </w:tc>
        <w:tc>
          <w:tcPr>
            <w:tcW w:w="321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0"/>
              </w:rPr>
              <w:t>案例资料详实性与分析方法合理性</w:t>
            </w:r>
          </w:p>
        </w:tc>
        <w:tc>
          <w:tcPr>
            <w:tcW w:w="10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7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0"/>
              </w:rPr>
              <w:t>工作量与实现难度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0"/>
              </w:rPr>
              <w:t>15%</w:t>
            </w:r>
          </w:p>
        </w:tc>
        <w:tc>
          <w:tcPr>
            <w:tcW w:w="321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0"/>
              </w:rPr>
              <w:t>工作量与工作难度</w:t>
            </w:r>
          </w:p>
        </w:tc>
        <w:tc>
          <w:tcPr>
            <w:tcW w:w="10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7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0"/>
              </w:rPr>
              <w:t>写作规范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0"/>
              </w:rPr>
              <w:t>10%</w:t>
            </w:r>
          </w:p>
        </w:tc>
        <w:tc>
          <w:tcPr>
            <w:tcW w:w="321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0"/>
              </w:rPr>
              <w:t>写作规范</w:t>
            </w:r>
          </w:p>
        </w:tc>
        <w:tc>
          <w:tcPr>
            <w:tcW w:w="10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80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0"/>
              </w:rPr>
              <w:t>C类.金融创新学术论文</w:t>
            </w:r>
          </w:p>
        </w:tc>
        <w:tc>
          <w:tcPr>
            <w:tcW w:w="421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0"/>
              </w:rPr>
              <w:t>D类.金融创新调研报告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7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0"/>
              </w:rPr>
              <w:t>评分项目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0"/>
              </w:rPr>
              <w:t>权重</w:t>
            </w:r>
          </w:p>
        </w:tc>
        <w:tc>
          <w:tcPr>
            <w:tcW w:w="321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0"/>
              </w:rPr>
              <w:t>评分项目</w:t>
            </w:r>
          </w:p>
        </w:tc>
        <w:tc>
          <w:tcPr>
            <w:tcW w:w="10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0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7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0"/>
              </w:rPr>
              <w:t>选题意义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0"/>
              </w:rPr>
              <w:t>20%</w:t>
            </w:r>
          </w:p>
        </w:tc>
        <w:tc>
          <w:tcPr>
            <w:tcW w:w="321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0"/>
              </w:rPr>
              <w:t>选题意义</w:t>
            </w:r>
          </w:p>
        </w:tc>
        <w:tc>
          <w:tcPr>
            <w:tcW w:w="10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7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0"/>
              </w:rPr>
              <w:t>创新性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0"/>
              </w:rPr>
              <w:t>30%</w:t>
            </w:r>
          </w:p>
        </w:tc>
        <w:tc>
          <w:tcPr>
            <w:tcW w:w="321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0"/>
              </w:rPr>
              <w:t>创新性</w:t>
            </w:r>
          </w:p>
        </w:tc>
        <w:tc>
          <w:tcPr>
            <w:tcW w:w="10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0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7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0"/>
              </w:rPr>
              <w:t>理论与实证分析方法合理性与前沿性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0"/>
              </w:rPr>
              <w:t>25%</w:t>
            </w:r>
          </w:p>
        </w:tc>
        <w:tc>
          <w:tcPr>
            <w:tcW w:w="321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0"/>
              </w:rPr>
              <w:t>调研资料可信度与调研分析方法合理性</w:t>
            </w:r>
          </w:p>
        </w:tc>
        <w:tc>
          <w:tcPr>
            <w:tcW w:w="10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7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0"/>
              </w:rPr>
              <w:t>工作量与工作难度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0"/>
              </w:rPr>
              <w:t>15%</w:t>
            </w:r>
          </w:p>
        </w:tc>
        <w:tc>
          <w:tcPr>
            <w:tcW w:w="321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0"/>
              </w:rPr>
              <w:t>工作量与工作难度</w:t>
            </w:r>
          </w:p>
        </w:tc>
        <w:tc>
          <w:tcPr>
            <w:tcW w:w="10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7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0"/>
              </w:rPr>
              <w:t>写作规范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0"/>
              </w:rPr>
              <w:t>10%</w:t>
            </w:r>
          </w:p>
        </w:tc>
        <w:tc>
          <w:tcPr>
            <w:tcW w:w="321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0"/>
              </w:rPr>
              <w:t>写作规范</w:t>
            </w:r>
          </w:p>
        </w:tc>
        <w:tc>
          <w:tcPr>
            <w:tcW w:w="10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0"/>
              </w:rPr>
              <w:t>10%</w:t>
            </w:r>
          </w:p>
        </w:tc>
      </w:tr>
    </w:tbl>
    <w:p>
      <w:pPr>
        <w:spacing w:line="480" w:lineRule="exact"/>
        <w:jc w:val="left"/>
        <w:rPr>
          <w:rFonts w:ascii="Times New Roman" w:hAnsi="Times New Roman" w:eastAsia="仿宋" w:cs="仿宋"/>
          <w:b/>
          <w:sz w:val="30"/>
          <w:szCs w:val="30"/>
        </w:rPr>
      </w:pPr>
    </w:p>
    <w:p>
      <w:pPr>
        <w:spacing w:line="480" w:lineRule="exact"/>
        <w:jc w:val="left"/>
        <w:rPr>
          <w:rFonts w:ascii="Times New Roman" w:hAnsi="Times New Roman" w:eastAsia="仿宋" w:cs="仿宋"/>
          <w:b/>
          <w:sz w:val="30"/>
          <w:szCs w:val="30"/>
        </w:rPr>
      </w:pPr>
    </w:p>
    <w:p>
      <w:pPr>
        <w:spacing w:line="560" w:lineRule="exact"/>
        <w:jc w:val="left"/>
        <w:rPr>
          <w:rFonts w:ascii="Times New Roman" w:hAnsi="Times New Roman" w:eastAsia="黑体" w:cs="仿宋"/>
          <w:sz w:val="32"/>
          <w:szCs w:val="30"/>
        </w:rPr>
      </w:pPr>
      <w:r>
        <w:rPr>
          <w:rFonts w:hint="eastAsia" w:ascii="Times New Roman" w:hAnsi="Times New Roman" w:eastAsia="黑体" w:cs="仿宋"/>
          <w:sz w:val="32"/>
          <w:szCs w:val="30"/>
        </w:rPr>
        <w:t>附件2</w:t>
      </w:r>
    </w:p>
    <w:p>
      <w:pPr>
        <w:spacing w:line="560" w:lineRule="exact"/>
        <w:jc w:val="left"/>
        <w:rPr>
          <w:rFonts w:ascii="Times New Roman" w:hAnsi="Times New Roman" w:eastAsia="黑体" w:cs="仿宋"/>
          <w:sz w:val="32"/>
          <w:szCs w:val="30"/>
        </w:rPr>
      </w:pPr>
    </w:p>
    <w:p>
      <w:pPr>
        <w:spacing w:after="78" w:afterLines="25" w:line="560" w:lineRule="exact"/>
        <w:jc w:val="center"/>
        <w:rPr>
          <w:rFonts w:ascii="Times New Roman" w:hAnsi="Times New Roman" w:eastAsia="方正小标宋简体" w:cs="Times New Roman"/>
          <w:bCs/>
          <w:sz w:val="44"/>
        </w:rPr>
      </w:pPr>
      <w:bookmarkStart w:id="1" w:name="_Hlk137707696"/>
      <w:r>
        <w:rPr>
          <w:rFonts w:hint="eastAsia" w:ascii="Times New Roman" w:hAnsi="Times New Roman" w:eastAsia="方正小标宋简体" w:cs="Times New Roman"/>
          <w:bCs/>
          <w:sz w:val="44"/>
        </w:rPr>
        <w:t>答辩评分标准表</w:t>
      </w:r>
      <w:bookmarkEnd w:id="1"/>
    </w:p>
    <w:p>
      <w:pPr>
        <w:spacing w:after="78" w:afterLines="25" w:line="560" w:lineRule="exact"/>
        <w:jc w:val="center"/>
        <w:rPr>
          <w:rFonts w:ascii="Times New Roman" w:hAnsi="Times New Roman" w:eastAsia="方正小标宋简体" w:cs="Times New Roman"/>
          <w:bCs/>
          <w:sz w:val="44"/>
        </w:rPr>
      </w:pP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4449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8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/>
                <w:bCs/>
                <w:sz w:val="32"/>
                <w:szCs w:val="30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32"/>
                <w:szCs w:val="30"/>
              </w:rPr>
              <w:t>评价对象</w:t>
            </w:r>
          </w:p>
        </w:tc>
        <w:tc>
          <w:tcPr>
            <w:tcW w:w="444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/>
                <w:bCs/>
                <w:sz w:val="32"/>
                <w:szCs w:val="30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32"/>
                <w:szCs w:val="30"/>
              </w:rPr>
              <w:t>评价内容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/>
                <w:bCs/>
                <w:sz w:val="32"/>
                <w:szCs w:val="30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32"/>
                <w:szCs w:val="30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8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sz w:val="32"/>
                <w:szCs w:val="30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0"/>
              </w:rPr>
              <w:t>1.汇报展示</w:t>
            </w:r>
          </w:p>
        </w:tc>
        <w:tc>
          <w:tcPr>
            <w:tcW w:w="4449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" w:cs="仿宋"/>
                <w:sz w:val="32"/>
                <w:szCs w:val="30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0"/>
              </w:rPr>
              <w:t>阐述的全面性、逻辑性、重点突出性。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sz w:val="32"/>
                <w:szCs w:val="30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8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sz w:val="32"/>
                <w:szCs w:val="30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0"/>
              </w:rPr>
              <w:t>2.答辩展示</w:t>
            </w:r>
          </w:p>
        </w:tc>
        <w:tc>
          <w:tcPr>
            <w:tcW w:w="4449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" w:cs="仿宋"/>
                <w:sz w:val="32"/>
                <w:szCs w:val="30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0"/>
              </w:rPr>
              <w:t>回答评委提问和建议的清晰度、准确度；应答表现的适当度、沉稳度。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sz w:val="32"/>
                <w:szCs w:val="30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0"/>
              </w:rPr>
              <w:t>50%</w:t>
            </w:r>
          </w:p>
        </w:tc>
      </w:tr>
    </w:tbl>
    <w:p>
      <w:pPr>
        <w:spacing w:line="480" w:lineRule="exact"/>
        <w:jc w:val="left"/>
        <w:rPr>
          <w:rFonts w:ascii="Times New Roman" w:hAnsi="Times New Roman" w:eastAsia="仿宋" w:cs="仿宋"/>
          <w:b/>
          <w:sz w:val="30"/>
          <w:szCs w:val="30"/>
        </w:rPr>
      </w:pPr>
    </w:p>
    <w:p>
      <w:pPr>
        <w:spacing w:line="560" w:lineRule="exact"/>
        <w:jc w:val="left"/>
        <w:rPr>
          <w:rFonts w:ascii="Times New Roman" w:hAnsi="Times New Roman" w:eastAsia="黑体" w:cs="仿宋"/>
          <w:sz w:val="32"/>
          <w:szCs w:val="30"/>
        </w:rPr>
      </w:pPr>
      <w:r>
        <w:rPr>
          <w:rFonts w:hint="eastAsia" w:ascii="Times New Roman" w:hAnsi="Times New Roman" w:eastAsia="仿宋" w:cs="仿宋"/>
          <w:sz w:val="30"/>
          <w:szCs w:val="30"/>
        </w:rPr>
        <w:br w:type="page"/>
      </w:r>
      <w:r>
        <w:rPr>
          <w:rFonts w:hint="eastAsia" w:ascii="Times New Roman" w:hAnsi="Times New Roman" w:eastAsia="黑体" w:cs="仿宋"/>
          <w:sz w:val="32"/>
          <w:szCs w:val="30"/>
        </w:rPr>
        <w:t>附件</w:t>
      </w:r>
      <w:r>
        <w:rPr>
          <w:rFonts w:ascii="Times New Roman" w:hAnsi="Times New Roman" w:eastAsia="黑体" w:cs="仿宋"/>
          <w:sz w:val="32"/>
          <w:szCs w:val="30"/>
        </w:rPr>
        <w:t>3</w:t>
      </w:r>
    </w:p>
    <w:p>
      <w:pPr>
        <w:spacing w:line="560" w:lineRule="exact"/>
        <w:jc w:val="left"/>
        <w:rPr>
          <w:rFonts w:ascii="Times New Roman" w:hAnsi="Times New Roman" w:eastAsia="仿宋" w:cs="仿宋"/>
          <w:b/>
          <w:bCs/>
          <w:sz w:val="36"/>
          <w:szCs w:val="32"/>
        </w:rPr>
      </w:pPr>
    </w:p>
    <w:p>
      <w:pPr>
        <w:spacing w:line="560" w:lineRule="exact"/>
        <w:jc w:val="center"/>
        <w:outlineLvl w:val="1"/>
        <w:rPr>
          <w:rFonts w:ascii="Times New Roman" w:hAnsi="Times New Roman" w:eastAsia="方正小标宋简体" w:cs="Times New Roman"/>
          <w:bCs/>
          <w:sz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</w:rPr>
        <w:t>浙江省大学生金融创新大赛作品格式要求</w:t>
      </w:r>
    </w:p>
    <w:p>
      <w:pPr>
        <w:spacing w:line="560" w:lineRule="exact"/>
        <w:jc w:val="center"/>
        <w:outlineLvl w:val="1"/>
        <w:rPr>
          <w:rFonts w:ascii="Times New Roman" w:hAnsi="Times New Roman" w:eastAsia="仿宋" w:cs="仿宋"/>
          <w:b/>
          <w:bCs/>
          <w:sz w:val="36"/>
          <w:szCs w:val="32"/>
        </w:rPr>
      </w:pPr>
    </w:p>
    <w:p>
      <w:pPr>
        <w:spacing w:line="560" w:lineRule="exact"/>
        <w:ind w:firstLine="627" w:firstLineChars="196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 w:cs="宋体"/>
          <w:sz w:val="32"/>
          <w:szCs w:val="32"/>
        </w:rPr>
        <w:t>一、</w:t>
      </w:r>
      <w:r>
        <w:rPr>
          <w:rFonts w:hint="eastAsia" w:ascii="Times New Roman" w:hAnsi="Times New Roman" w:eastAsia="黑体"/>
          <w:sz w:val="32"/>
          <w:szCs w:val="32"/>
        </w:rPr>
        <w:t>基本情况</w:t>
      </w:r>
    </w:p>
    <w:p>
      <w:pPr>
        <w:spacing w:line="560" w:lineRule="exact"/>
        <w:ind w:firstLine="627" w:firstLineChars="196"/>
        <w:rPr>
          <w:rFonts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（</w:t>
      </w:r>
      <w:r>
        <w:rPr>
          <w:rFonts w:hint="eastAsia" w:ascii="Times New Roman" w:hAnsi="Times New Roman" w:eastAsia="楷体" w:cs="宋体"/>
          <w:sz w:val="32"/>
          <w:szCs w:val="32"/>
        </w:rPr>
        <w:t>一</w:t>
      </w:r>
      <w:r>
        <w:rPr>
          <w:rFonts w:hint="eastAsia" w:ascii="Times New Roman" w:hAnsi="Times New Roman" w:eastAsia="楷体"/>
          <w:sz w:val="32"/>
          <w:szCs w:val="32"/>
        </w:rPr>
        <w:t>）作品标题（仿宋，三号，粗体）</w:t>
      </w:r>
    </w:p>
    <w:p>
      <w:pPr>
        <w:spacing w:line="560" w:lineRule="exact"/>
        <w:ind w:firstLine="627" w:firstLineChars="196"/>
        <w:rPr>
          <w:rFonts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（二）摘要、关键词（仿宋，五号，字数不超过500字）</w:t>
      </w:r>
    </w:p>
    <w:p>
      <w:pPr>
        <w:spacing w:line="560" w:lineRule="exact"/>
        <w:ind w:firstLine="392" w:firstLineChars="19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659130</wp:posOffset>
                </wp:positionV>
                <wp:extent cx="5724525" cy="3345180"/>
                <wp:effectExtent l="4445" t="4445" r="5080" b="222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334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论村民自治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  <w:t>摘  要：</w:t>
                            </w:r>
                          </w:p>
                          <w:p>
                            <w:pPr>
                              <w:ind w:firstLine="480"/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  <w:t>ＸＸＸＸＸＸＸＸＸＸＸＸＸＸＸＸＸＸＸＸＸＸＸＸＸＸＸＸＸＸＸＸＸＸＸＸＸＸＸ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  <w:t>关键词：ＸＸＸＸ　ＸＸＸＸ　ＸＸＸＸ　ＸＸＸＸ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  <w:t>［正文］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  <w:t>　　ＸＸＸＸＸＸＸＸＸＸＸＸＸＸＸＸＸＸＸＸＸＸＸＸＸＸＸＸＸＸ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0.4pt;margin-top:51.9pt;height:263.4pt;width:450.75pt;mso-wrap-distance-bottom:0pt;mso-wrap-distance-left:9pt;mso-wrap-distance-right:9pt;mso-wrap-distance-top:0pt;z-index:251659264;mso-width-relative:page;mso-height-relative:page;" fillcolor="#FFFFFF" filled="t" stroked="t" coordsize="21600,21600" o:gfxdata="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cVXNNYAAAAIAQAADwAAAAAAAAABACAAAAAiAAAAZHJzL2Rvd25yZXYueG1sUEsB&#10;AhQAFAAAAAgAh07iQD8gHrb3AQAAEAQAAA4AAAAAAAAAAQAgAAAAJQ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论村民自治</w:t>
                      </w:r>
                    </w:p>
                    <w:p>
                      <w:pPr>
                        <w:rPr>
                          <w:rFonts w:ascii="仿宋" w:hAnsi="仿宋" w:eastAsia="仿宋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 w:ascii="仿宋" w:hAnsi="仿宋" w:eastAsia="仿宋"/>
                          <w:sz w:val="32"/>
                          <w:szCs w:val="32"/>
                        </w:rPr>
                        <w:t>摘  要：</w:t>
                      </w:r>
                    </w:p>
                    <w:p>
                      <w:pPr>
                        <w:ind w:firstLine="480"/>
                        <w:rPr>
                          <w:rFonts w:ascii="仿宋" w:hAnsi="仿宋" w:eastAsia="仿宋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/>
                          <w:sz w:val="32"/>
                          <w:szCs w:val="32"/>
                        </w:rPr>
                        <w:t>ＸＸＸＸＸＸＸＸＸＸＸＸＸＸＸＸＸＸＸＸＸＸＸＸＸＸＸＸＸＸＸＸＸＸＸＸＸＸＸ</w:t>
                      </w:r>
                    </w:p>
                    <w:p>
                      <w:pPr>
                        <w:rPr>
                          <w:rFonts w:ascii="仿宋" w:hAnsi="仿宋" w:eastAsia="仿宋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/>
                          <w:sz w:val="32"/>
                          <w:szCs w:val="32"/>
                        </w:rPr>
                        <w:t>关键词：ＸＸＸＸ　ＸＸＸＸ　ＸＸＸＸ　ＸＸＸＸ</w:t>
                      </w:r>
                    </w:p>
                    <w:p>
                      <w:pPr>
                        <w:rPr>
                          <w:rFonts w:ascii="仿宋" w:hAnsi="仿宋" w:eastAsia="仿宋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/>
                          <w:sz w:val="32"/>
                          <w:szCs w:val="32"/>
                        </w:rPr>
                        <w:t>［正文］</w:t>
                      </w:r>
                    </w:p>
                    <w:p>
                      <w:pPr>
                        <w:rPr>
                          <w:rFonts w:ascii="仿宋" w:hAnsi="仿宋" w:eastAsia="仿宋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/>
                          <w:sz w:val="32"/>
                          <w:szCs w:val="32"/>
                        </w:rPr>
                        <w:t>　　ＸＸＸＸＸＸＸＸＸＸＸＸＸＸＸＸＸＸＸＸＸＸＸＸＸＸＸＸＸＸ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Times New Roman" w:hAnsi="Times New Roman" w:eastAsia="仿宋_GB2312"/>
          <w:sz w:val="28"/>
          <w:szCs w:val="28"/>
        </w:rPr>
        <w:t>【例】</w:t>
      </w:r>
    </w:p>
    <w:p>
      <w:pPr>
        <w:spacing w:line="560" w:lineRule="exact"/>
        <w:rPr>
          <w:rFonts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627" w:firstLineChars="196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 w:cs="宋体"/>
          <w:sz w:val="32"/>
          <w:szCs w:val="32"/>
        </w:rPr>
        <w:t>二、</w:t>
      </w:r>
      <w:r>
        <w:rPr>
          <w:rFonts w:hint="eastAsia" w:ascii="Times New Roman" w:hAnsi="Times New Roman" w:eastAsia="黑体"/>
          <w:sz w:val="32"/>
          <w:szCs w:val="32"/>
        </w:rPr>
        <w:t>文字格式</w:t>
      </w:r>
    </w:p>
    <w:p>
      <w:pPr>
        <w:spacing w:line="560" w:lineRule="exact"/>
        <w:ind w:firstLine="627" w:firstLineChars="196"/>
        <w:rPr>
          <w:rFonts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（一）正文（全部楷体，四号，标题需加粗）</w:t>
      </w:r>
    </w:p>
    <w:p>
      <w:pPr>
        <w:spacing w:line="560" w:lineRule="exact"/>
        <w:ind w:firstLine="627" w:firstLineChars="196"/>
        <w:rPr>
          <w:rFonts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（二）行距(全部采用单倍行距)</w:t>
      </w:r>
    </w:p>
    <w:p>
      <w:pPr>
        <w:spacing w:line="560" w:lineRule="exact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ascii="Times New Roman" w:hAnsi="Times New Roman" w:eastAsia="仿宋_GB2312"/>
          <w:b/>
          <w:bCs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423545</wp:posOffset>
                </wp:positionV>
                <wp:extent cx="5744845" cy="2095500"/>
                <wp:effectExtent l="4445" t="4445" r="22860" b="1460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484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420" w:leftChars="200"/>
                              <w:rPr>
                                <w:rFonts w:ascii="仿宋_GB2312" w:eastAsia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sz w:val="28"/>
                                <w:szCs w:val="28"/>
                              </w:rPr>
                              <w:t>一、村民自治的历史[一级标题]</w:t>
                            </w:r>
                          </w:p>
                          <w:p>
                            <w:pPr>
                              <w:ind w:left="420"/>
                              <w:rPr>
                                <w:rFonts w:ascii="仿宋_GB2312" w:eastAsia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sz w:val="28"/>
                                <w:szCs w:val="28"/>
                              </w:rPr>
                              <w:t>（一）村民自治的概念[二级标题]</w:t>
                            </w:r>
                          </w:p>
                          <w:p>
                            <w:pPr>
                              <w:ind w:left="420"/>
                              <w:rPr>
                                <w:rFonts w:ascii="仿宋_GB2312" w:eastAsia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sz w:val="28"/>
                                <w:szCs w:val="28"/>
                              </w:rPr>
                              <w:t>1.村民自治[三级标题]</w:t>
                            </w:r>
                          </w:p>
                          <w:p>
                            <w:pPr>
                              <w:ind w:left="420"/>
                              <w:rPr>
                                <w:rFonts w:ascii="仿宋_GB2312" w:eastAsia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sz w:val="28"/>
                                <w:szCs w:val="28"/>
                              </w:rPr>
                              <w:t>（1）村民自治[四级标题]</w:t>
                            </w:r>
                          </w:p>
                          <w:p>
                            <w:pPr>
                              <w:ind w:left="420"/>
                              <w:rPr>
                                <w:rFonts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村民自治的概念来源于……[正文]</w:t>
                            </w:r>
                          </w:p>
                          <w:p/>
                        </w:txbxContent>
                      </wps:txbx>
                      <wps:bodyPr wrap="square" lIns="91439" tIns="45719" rIns="91439" bIns="45719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4pt;margin-top:33.35pt;height:165pt;width:452.35pt;mso-wrap-distance-bottom:0pt;mso-wrap-distance-left:9pt;mso-wrap-distance-right:9pt;mso-wrap-distance-top:0pt;z-index:251660288;mso-width-relative:page;mso-height-relative:page;" fillcolor="#FFFFFF" filled="t" stroked="t" coordsize="21600,21600" o:gfxdata="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n9/BDXAAAACAEAAA8AAAAAAAAAAQAg&#10;AAAAIgAAAGRycy9kb3ducmV2LnhtbFBLAQIUABQAAAAIAIdO4kA10mYEDwIAAEQEAAAOAAAAAAAA&#10;AAEAIAAAACY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ind w:left="420" w:leftChars="200"/>
                        <w:rPr>
                          <w:rFonts w:ascii="仿宋_GB2312" w:eastAsia="仿宋_GB2312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  <w:sz w:val="28"/>
                          <w:szCs w:val="28"/>
                        </w:rPr>
                        <w:t>一、村民自治的历史[一级标题]</w:t>
                      </w:r>
                    </w:p>
                    <w:p>
                      <w:pPr>
                        <w:ind w:left="420"/>
                        <w:rPr>
                          <w:rFonts w:ascii="仿宋_GB2312" w:eastAsia="仿宋_GB2312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  <w:sz w:val="28"/>
                          <w:szCs w:val="28"/>
                        </w:rPr>
                        <w:t>（一）村民自治的概念[二级标题]</w:t>
                      </w:r>
                    </w:p>
                    <w:p>
                      <w:pPr>
                        <w:ind w:left="420"/>
                        <w:rPr>
                          <w:rFonts w:ascii="仿宋_GB2312" w:eastAsia="仿宋_GB2312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  <w:sz w:val="28"/>
                          <w:szCs w:val="28"/>
                        </w:rPr>
                        <w:t>1.村民自治[三级标题]</w:t>
                      </w:r>
                    </w:p>
                    <w:p>
                      <w:pPr>
                        <w:ind w:left="420"/>
                        <w:rPr>
                          <w:rFonts w:ascii="仿宋_GB2312" w:eastAsia="仿宋_GB2312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  <w:sz w:val="28"/>
                          <w:szCs w:val="28"/>
                        </w:rPr>
                        <w:t>（1）村民自治[四级标题]</w:t>
                      </w:r>
                    </w:p>
                    <w:p>
                      <w:pPr>
                        <w:ind w:left="420"/>
                        <w:rPr>
                          <w:rFonts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村民自治的概念来源于……[正文]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Times New Roman" w:hAnsi="Times New Roman" w:eastAsia="仿宋_GB2312"/>
          <w:sz w:val="28"/>
          <w:szCs w:val="28"/>
        </w:rPr>
        <w:t xml:space="preserve">【例】      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三、版面格式</w:t>
      </w:r>
    </w:p>
    <w:p>
      <w:pPr>
        <w:spacing w:line="560" w:lineRule="exact"/>
        <w:ind w:firstLine="627" w:firstLineChars="196"/>
        <w:rPr>
          <w:rFonts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(一)加页眉</w:t>
      </w:r>
    </w:p>
    <w:p>
      <w:pPr>
        <w:spacing w:line="560" w:lineRule="exact"/>
        <w:ind w:firstLine="627" w:firstLineChars="196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1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bidi="zh-CN"/>
        </w:rPr>
        <w:t>.</w:t>
      </w:r>
      <w:r>
        <w:rPr>
          <w:rFonts w:ascii="Times New Roman" w:hAnsi="Times New Roman" w:eastAsia="仿宋" w:cs="Times New Roman"/>
          <w:kern w:val="0"/>
          <w:sz w:val="32"/>
          <w:szCs w:val="32"/>
          <w:lang w:bidi="zh-CN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</w:rPr>
        <w:t>内容：202</w:t>
      </w:r>
      <w:r>
        <w:rPr>
          <w:rFonts w:ascii="Times New Roman" w:hAnsi="Times New Roman" w:eastAsia="仿宋"/>
          <w:sz w:val="32"/>
          <w:szCs w:val="32"/>
        </w:rPr>
        <w:t>3</w:t>
      </w:r>
      <w:r>
        <w:rPr>
          <w:rFonts w:hint="eastAsia" w:ascii="Times New Roman" w:hAnsi="Times New Roman" w:eastAsia="仿宋"/>
          <w:sz w:val="32"/>
          <w:szCs w:val="32"/>
        </w:rPr>
        <w:t>年“杭州银行杯”浙江省大学生金融创新大赛作品；</w:t>
      </w:r>
    </w:p>
    <w:p>
      <w:pPr>
        <w:spacing w:line="560" w:lineRule="exact"/>
        <w:ind w:firstLine="627" w:firstLineChars="196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2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bidi="zh-CN"/>
        </w:rPr>
        <w:t>.</w:t>
      </w:r>
      <w:r>
        <w:rPr>
          <w:rFonts w:ascii="Times New Roman" w:hAnsi="Times New Roman" w:eastAsia="仿宋" w:cs="Times New Roman"/>
          <w:kern w:val="0"/>
          <w:sz w:val="32"/>
          <w:szCs w:val="32"/>
          <w:lang w:bidi="zh-CN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</w:rPr>
        <w:t>字体：仿宋，五号；居中</w:t>
      </w:r>
    </w:p>
    <w:p>
      <w:pPr>
        <w:spacing w:line="560" w:lineRule="exact"/>
        <w:ind w:firstLine="627" w:firstLineChars="196"/>
        <w:rPr>
          <w:rFonts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(</w:t>
      </w:r>
      <w:r>
        <w:rPr>
          <w:rFonts w:hint="eastAsia" w:ascii="Times New Roman" w:hAnsi="Times New Roman" w:eastAsia="楷体" w:cs="宋体"/>
          <w:sz w:val="32"/>
          <w:szCs w:val="32"/>
        </w:rPr>
        <w:t>二</w:t>
      </w:r>
      <w:r>
        <w:rPr>
          <w:rFonts w:hint="eastAsia" w:ascii="Times New Roman" w:hAnsi="Times New Roman" w:eastAsia="楷体"/>
          <w:sz w:val="32"/>
          <w:szCs w:val="32"/>
        </w:rPr>
        <w:t>)页面设置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1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bidi="zh-CN"/>
        </w:rPr>
        <w:t>.</w:t>
      </w:r>
      <w:r>
        <w:rPr>
          <w:rFonts w:ascii="Times New Roman" w:hAnsi="Times New Roman" w:eastAsia="仿宋" w:cs="Times New Roman"/>
          <w:kern w:val="0"/>
          <w:sz w:val="32"/>
          <w:szCs w:val="32"/>
          <w:lang w:bidi="zh-CN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</w:rPr>
        <w:t>页边距：上下左右均为2.5厘米  装订线：0厘米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2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bidi="zh-CN"/>
        </w:rPr>
        <w:t>.</w:t>
      </w:r>
      <w:r>
        <w:rPr>
          <w:rFonts w:ascii="Times New Roman" w:hAnsi="Times New Roman" w:eastAsia="仿宋" w:cs="Times New Roman"/>
          <w:kern w:val="0"/>
          <w:sz w:val="32"/>
          <w:szCs w:val="32"/>
          <w:lang w:bidi="zh-CN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</w:rPr>
        <w:t>页眉：1.5厘米；页脚：1.5厘米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3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bidi="zh-CN"/>
        </w:rPr>
        <w:t>.</w:t>
      </w:r>
      <w:r>
        <w:rPr>
          <w:rFonts w:ascii="Times New Roman" w:hAnsi="Times New Roman" w:eastAsia="仿宋" w:cs="Times New Roman"/>
          <w:kern w:val="0"/>
          <w:sz w:val="32"/>
          <w:szCs w:val="32"/>
          <w:lang w:bidi="zh-CN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</w:rPr>
        <w:t>纸型：A4，纵向</w:t>
      </w:r>
    </w:p>
    <w:p>
      <w:pPr>
        <w:spacing w:line="560" w:lineRule="exact"/>
        <w:ind w:firstLine="627" w:firstLineChars="196"/>
        <w:rPr>
          <w:rFonts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(三)插入页码</w:t>
      </w:r>
    </w:p>
    <w:p>
      <w:pPr>
        <w:spacing w:line="560" w:lineRule="exact"/>
        <w:ind w:firstLine="627" w:firstLineChars="196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bidi="zh-CN"/>
        </w:rPr>
        <w:t>.</w:t>
      </w:r>
      <w:r>
        <w:rPr>
          <w:rFonts w:ascii="Times New Roman" w:hAnsi="Times New Roman" w:eastAsia="仿宋" w:cs="Times New Roman"/>
          <w:kern w:val="0"/>
          <w:sz w:val="32"/>
          <w:szCs w:val="32"/>
          <w:lang w:bidi="zh-CN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</w:rPr>
        <w:t>位置：页面底端</w:t>
      </w:r>
    </w:p>
    <w:p>
      <w:pPr>
        <w:spacing w:line="560" w:lineRule="exact"/>
        <w:ind w:firstLine="627" w:firstLineChars="196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bidi="zh-CN"/>
        </w:rPr>
        <w:t>.</w:t>
      </w:r>
      <w:r>
        <w:rPr>
          <w:rFonts w:ascii="Times New Roman" w:hAnsi="Times New Roman" w:eastAsia="仿宋" w:cs="Times New Roman"/>
          <w:kern w:val="0"/>
          <w:sz w:val="32"/>
          <w:szCs w:val="32"/>
          <w:lang w:bidi="zh-CN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</w:rPr>
        <w:t>对齐方式：外侧</w:t>
      </w:r>
    </w:p>
    <w:p>
      <w:pPr>
        <w:spacing w:line="560" w:lineRule="exact"/>
        <w:ind w:firstLine="627" w:firstLineChars="196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hint="eastAsia" w:ascii="Times New Roman" w:hAnsi="Times New Roman" w:eastAsia="楷体"/>
          <w:sz w:val="32"/>
          <w:szCs w:val="32"/>
        </w:rPr>
        <w:t>(四)注释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</w:t>
      </w:r>
    </w:p>
    <w:p>
      <w:pPr>
        <w:spacing w:line="560" w:lineRule="exact"/>
        <w:ind w:firstLine="627" w:firstLineChars="196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bidi="zh-CN"/>
        </w:rPr>
        <w:t>.</w:t>
      </w:r>
      <w:r>
        <w:rPr>
          <w:rFonts w:ascii="Times New Roman" w:hAnsi="Times New Roman" w:eastAsia="仿宋" w:cs="Times New Roman"/>
          <w:kern w:val="0"/>
          <w:sz w:val="32"/>
          <w:szCs w:val="32"/>
          <w:lang w:bidi="zh-CN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</w:rPr>
        <w:t>采用尾注，自定义标记为[1]，[2]，[3]……</w:t>
      </w:r>
    </w:p>
    <w:p>
      <w:pPr>
        <w:spacing w:line="560" w:lineRule="exact"/>
        <w:ind w:firstLine="627" w:firstLineChars="196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2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bidi="zh-CN"/>
        </w:rPr>
        <w:t>.</w:t>
      </w:r>
      <w:r>
        <w:rPr>
          <w:rFonts w:ascii="Times New Roman" w:hAnsi="Times New Roman" w:eastAsia="仿宋" w:cs="Times New Roman"/>
          <w:kern w:val="0"/>
          <w:sz w:val="32"/>
          <w:szCs w:val="32"/>
          <w:lang w:bidi="zh-CN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</w:rPr>
        <w:t>注：专著为[M]，报纸为[N]，期刊文章为[J]，论文集为[C]，学位论文为[D]，报告为[R]，标准为[S]，专利为[P]</w:t>
      </w:r>
    </w:p>
    <w:p>
      <w:pPr>
        <w:spacing w:line="560" w:lineRule="exact"/>
        <w:ind w:firstLine="627" w:firstLineChars="196"/>
        <w:rPr>
          <w:rFonts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(五)参考文献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【例】</w:t>
      </w:r>
    </w:p>
    <w:p>
      <w:pPr>
        <w:spacing w:line="560" w:lineRule="exact"/>
        <w:ind w:left="210" w:leftChars="100" w:firstLine="420" w:firstLineChars="20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[1]</w:t>
      </w:r>
      <w:r>
        <w:rPr>
          <w:rFonts w:hint="eastAsia" w:ascii="Times New Roman" w:hAnsi="Times New Roman" w:eastAsia="仿宋" w:cs="Times New Roman"/>
        </w:rPr>
        <w:t xml:space="preserve"> </w:t>
      </w:r>
      <w:r>
        <w:rPr>
          <w:rFonts w:ascii="Times New Roman" w:hAnsi="Times New Roman" w:eastAsia="仿宋" w:cs="Times New Roman"/>
        </w:rPr>
        <w:t>常璟, 许旭. 金融生态环境、股权属性与债务融资结构研究[J].山东大学学报, 2011(3): 100-106.</w:t>
      </w:r>
    </w:p>
    <w:p>
      <w:pPr>
        <w:spacing w:line="560" w:lineRule="exact"/>
        <w:ind w:left="210" w:leftChars="100" w:firstLine="420" w:firstLineChars="20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[2] 毛蕴诗. 跨国公司战略竞争与国际直接投资[M].广州：中山大学出版社, 2001.</w:t>
      </w:r>
    </w:p>
    <w:p>
      <w:pPr>
        <w:spacing w:line="560" w:lineRule="exact"/>
        <w:ind w:left="210" w:leftChars="100" w:firstLine="420" w:firstLineChars="20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[3] 王玥. 区域金融生态评估方法研究[D]. 湖南大学, 2010.</w:t>
      </w:r>
    </w:p>
    <w:p>
      <w:pPr>
        <w:spacing w:line="560" w:lineRule="exact"/>
        <w:ind w:left="210" w:leftChars="100" w:firstLine="420" w:firstLineChars="20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[4] 周小川. 完善法律环境, 打造金融生态[N]. 金融时报, 2004-12-7.</w:t>
      </w:r>
    </w:p>
    <w:p>
      <w:pPr>
        <w:spacing w:line="560" w:lineRule="exact"/>
        <w:ind w:left="210" w:leftChars="100" w:firstLine="420" w:firstLineChars="20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[5] 任泽平. 中国经济新周期是推动人民币升值的内因[EB/OL].(2015-03-02) [2016-01-09]. http://money.163.com/17/0913/06/CU6MVLUD002580S6.html.</w:t>
      </w:r>
    </w:p>
    <w:p>
      <w:pPr>
        <w:spacing w:line="560" w:lineRule="exact"/>
        <w:ind w:left="210" w:leftChars="100" w:firstLine="420" w:firstLineChars="20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[6] Alizadeh, S.,Brandt, M.W. and Diebold,F.X. Range Based Estimation of Stochastic Volatility Models[J]. Journal of Finance, 2002, 57(1): 1047–1092.</w:t>
      </w:r>
    </w:p>
    <w:p>
      <w:pPr>
        <w:spacing w:line="560" w:lineRule="exact"/>
        <w:ind w:left="210" w:leftChars="100" w:firstLine="420" w:firstLineChars="20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[7] Cashin, P., K.,Mohaddes, H.W. and Dong, J. China’s Slowdown and Global Financial Market Volatility: Is World Growth Losing Out? [R]. IMF Working Paper 16/63, International Monetary Fund, 2016.</w:t>
      </w:r>
    </w:p>
    <w:p>
      <w:pPr>
        <w:spacing w:line="560" w:lineRule="exact"/>
        <w:ind w:left="210" w:leftChars="100" w:firstLine="420" w:firstLineChars="20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[8] Feenstrar,R.C.and Obstrfeld, M.In Search of the Armington Elasticity[EB/OL].(2014-04-02) [2016-12-21] . http://www.nber.org/papers/w20063.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格式同上，先中文后英文；中文按姓名的拼音排序，英文按姓名的字母排序。</w:t>
      </w:r>
    </w:p>
    <w:p>
      <w:pPr>
        <w:spacing w:line="560" w:lineRule="exact"/>
        <w:ind w:firstLine="627" w:firstLineChars="196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四、其他问题</w:t>
      </w:r>
    </w:p>
    <w:p>
      <w:pPr>
        <w:pStyle w:val="2"/>
        <w:spacing w:after="0" w:line="560" w:lineRule="exact"/>
        <w:ind w:firstLine="64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"/>
          <w:sz w:val="32"/>
          <w:szCs w:val="32"/>
        </w:rPr>
        <w:t>其他未列出的问题请参见新闻出版署发布的“《中国学术期刊（光盘版）检索与评价数据规范》”。</w:t>
      </w:r>
      <w:r>
        <w:rPr>
          <w:rFonts w:hint="eastAsia" w:ascii="Times New Roman" w:hAnsi="Times New Roman" w:eastAsia="仿宋_GB2312"/>
          <w:sz w:val="28"/>
          <w:szCs w:val="28"/>
        </w:rPr>
        <w:br w:type="page"/>
      </w:r>
    </w:p>
    <w:p>
      <w:pPr>
        <w:spacing w:line="560" w:lineRule="exact"/>
        <w:rPr>
          <w:rFonts w:ascii="Times New Roman" w:hAnsi="Times New Roman" w:eastAsia="黑体" w:cs="仿宋"/>
          <w:sz w:val="32"/>
          <w:szCs w:val="32"/>
        </w:rPr>
      </w:pPr>
      <w:r>
        <w:rPr>
          <w:rFonts w:hint="eastAsia" w:ascii="Times New Roman" w:hAnsi="Times New Roman" w:eastAsia="黑体" w:cs="仿宋"/>
          <w:sz w:val="32"/>
          <w:szCs w:val="32"/>
        </w:rPr>
        <w:t>附件</w:t>
      </w:r>
      <w:r>
        <w:rPr>
          <w:rFonts w:ascii="Times New Roman" w:hAnsi="Times New Roman" w:eastAsia="黑体" w:cs="仿宋"/>
          <w:sz w:val="32"/>
          <w:szCs w:val="32"/>
        </w:rPr>
        <w:t>4</w:t>
      </w:r>
    </w:p>
    <w:p>
      <w:pPr>
        <w:spacing w:line="560" w:lineRule="exact"/>
        <w:rPr>
          <w:rFonts w:ascii="Times New Roman" w:hAnsi="Times New Roman" w:eastAsia="黑体" w:cs="仿宋"/>
          <w:spacing w:val="13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</w:rPr>
        <w:t>关于推荐浙江省大学生金融创新大赛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</w:rPr>
        <w:t>专家库人选的函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</w:rPr>
      </w:pPr>
    </w:p>
    <w:p>
      <w:pPr>
        <w:spacing w:line="560" w:lineRule="exac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各竞赛组委会单位、相关企事业单位及行政部门：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为做好浙江省大学生金融创新大赛，提高比赛的科学化、规范化水平，持续推进比赛健康有序开展，成立浙江省大学生金融创新大赛比赛专家库，并就有关事项通知如下：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一、专家基本条件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1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bidi="zh-CN"/>
        </w:rPr>
        <w:t>.</w:t>
      </w:r>
      <w:r>
        <w:rPr>
          <w:rFonts w:ascii="Times New Roman" w:hAnsi="Times New Roman" w:eastAsia="仿宋" w:cs="Times New Roman"/>
          <w:kern w:val="0"/>
          <w:sz w:val="32"/>
          <w:szCs w:val="32"/>
          <w:lang w:bidi="zh-CN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</w:rPr>
        <w:t>拥护党的领导，政治立场坚定，具有良好的职业道德，责任心强，工作严谨，坚持原则，作风正派，廉洁公正，严守组织纪律，服从组织安排，无违法违纪记录。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2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bidi="zh-CN"/>
        </w:rPr>
        <w:t>.</w:t>
      </w:r>
      <w:r>
        <w:rPr>
          <w:rFonts w:ascii="Times New Roman" w:hAnsi="Times New Roman" w:eastAsia="仿宋" w:cs="Times New Roman"/>
          <w:kern w:val="0"/>
          <w:sz w:val="32"/>
          <w:szCs w:val="32"/>
          <w:lang w:bidi="zh-CN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</w:rPr>
        <w:t>高校专家具有副高级及以上专业技术职务或博士学位，一线教学经验丰富；实务专家具有较强的金融业务能力和丰富的管理经验。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3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bidi="zh-CN"/>
        </w:rPr>
        <w:t>.</w:t>
      </w:r>
      <w:r>
        <w:rPr>
          <w:rFonts w:ascii="Times New Roman" w:hAnsi="Times New Roman" w:eastAsia="仿宋" w:cs="Times New Roman"/>
          <w:kern w:val="0"/>
          <w:sz w:val="32"/>
          <w:szCs w:val="32"/>
          <w:lang w:bidi="zh-CN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</w:rPr>
        <w:t>身体健康，年龄原则上不超过55周岁。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4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bidi="zh-CN"/>
        </w:rPr>
        <w:t>.</w:t>
      </w:r>
      <w:r>
        <w:rPr>
          <w:rFonts w:ascii="Times New Roman" w:hAnsi="Times New Roman" w:eastAsia="仿宋" w:cs="Times New Roman"/>
          <w:kern w:val="0"/>
          <w:sz w:val="32"/>
          <w:szCs w:val="32"/>
          <w:lang w:bidi="zh-CN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</w:rPr>
        <w:t>坚持自愿原则，能保证承担相关工作的时间和精力，按要求完成指定任务。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二、推荐要求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1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bidi="zh-CN"/>
        </w:rPr>
        <w:t>.</w:t>
      </w:r>
      <w:r>
        <w:rPr>
          <w:rFonts w:ascii="Times New Roman" w:hAnsi="Times New Roman" w:eastAsia="仿宋" w:cs="Times New Roman"/>
          <w:kern w:val="0"/>
          <w:sz w:val="32"/>
          <w:szCs w:val="32"/>
          <w:lang w:bidi="zh-CN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</w:rPr>
        <w:t>结合教育发展和教学改革优势，推荐来自高等院校、金融类管理机构、金融类企事业单位的专家。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2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bidi="zh-CN"/>
        </w:rPr>
        <w:t>.</w:t>
      </w:r>
      <w:r>
        <w:rPr>
          <w:rFonts w:ascii="Times New Roman" w:hAnsi="Times New Roman" w:eastAsia="仿宋" w:cs="Times New Roman"/>
          <w:kern w:val="0"/>
          <w:sz w:val="32"/>
          <w:szCs w:val="32"/>
          <w:lang w:bidi="zh-CN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</w:rPr>
        <w:t>统筹考虑专家所在单位、地区和在教育教学、教科研、教学管理等领域的合理分布。统筹考虑专家的合理分布。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3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bidi="zh-CN"/>
        </w:rPr>
        <w:t>.</w:t>
      </w:r>
      <w:r>
        <w:rPr>
          <w:rFonts w:ascii="Times New Roman" w:hAnsi="Times New Roman" w:eastAsia="仿宋" w:cs="Times New Roman"/>
          <w:kern w:val="0"/>
          <w:sz w:val="32"/>
          <w:szCs w:val="32"/>
          <w:lang w:bidi="zh-CN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</w:rPr>
        <w:t>参赛相关单位每单位推荐高校专家不少于6人，实务专家不少于2人。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三、推荐办法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请各单位专家库人选推荐表（附件</w:t>
      </w:r>
      <w:r>
        <w:rPr>
          <w:rFonts w:ascii="Times New Roman" w:hAnsi="Times New Roman" w:eastAsia="仿宋"/>
          <w:sz w:val="32"/>
          <w:szCs w:val="32"/>
        </w:rPr>
        <w:t>5</w:t>
      </w:r>
      <w:r>
        <w:rPr>
          <w:rFonts w:hint="eastAsia" w:ascii="Times New Roman" w:hAnsi="Times New Roman" w:eastAsia="仿宋"/>
          <w:sz w:val="32"/>
          <w:szCs w:val="32"/>
        </w:rPr>
        <w:t>）内容，填写推荐单位意见于202</w:t>
      </w:r>
      <w:r>
        <w:rPr>
          <w:rFonts w:ascii="Times New Roman" w:hAnsi="Times New Roman" w:eastAsia="仿宋"/>
          <w:sz w:val="32"/>
          <w:szCs w:val="32"/>
        </w:rPr>
        <w:t>3</w:t>
      </w:r>
      <w:r>
        <w:rPr>
          <w:rFonts w:hint="eastAsia" w:ascii="Times New Roman" w:hAnsi="Times New Roman" w:eastAsia="仿宋"/>
          <w:sz w:val="32"/>
          <w:szCs w:val="32"/>
        </w:rPr>
        <w:t>年</w:t>
      </w:r>
      <w:r>
        <w:rPr>
          <w:rFonts w:ascii="Times New Roman" w:hAnsi="Times New Roman" w:eastAsia="仿宋"/>
          <w:sz w:val="32"/>
          <w:szCs w:val="32"/>
        </w:rPr>
        <w:t>10</w:t>
      </w:r>
      <w:r>
        <w:rPr>
          <w:rFonts w:hint="eastAsia" w:ascii="Times New Roman" w:hAnsi="Times New Roman" w:eastAsia="仿宋"/>
          <w:sz w:val="32"/>
          <w:szCs w:val="32"/>
        </w:rPr>
        <w:t>月</w:t>
      </w:r>
      <w:r>
        <w:rPr>
          <w:rFonts w:ascii="Times New Roman" w:hAnsi="Times New Roman" w:eastAsia="仿宋"/>
          <w:sz w:val="32"/>
          <w:szCs w:val="32"/>
        </w:rPr>
        <w:t>9</w:t>
      </w:r>
      <w:r>
        <w:rPr>
          <w:rFonts w:hint="eastAsia" w:ascii="Times New Roman" w:hAnsi="Times New Roman" w:eastAsia="仿宋"/>
          <w:sz w:val="32"/>
          <w:szCs w:val="32"/>
        </w:rPr>
        <w:t>日前将电子版发送至邮箱：jrcxds@nbu.edu.cn。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四、联系人及联系电话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联 系 人：邱波，刘慧宏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 xml:space="preserve">联系电话：13857808378 </w:t>
      </w:r>
      <w:r>
        <w:rPr>
          <w:rFonts w:ascii="Times New Roman" w:hAnsi="Times New Roman" w:eastAsia="仿宋"/>
          <w:sz w:val="32"/>
          <w:szCs w:val="32"/>
        </w:rPr>
        <w:t>13857476620</w:t>
      </w:r>
      <w:r>
        <w:rPr>
          <w:rFonts w:hint="eastAsia" w:ascii="Times New Roman" w:hAnsi="Times New Roman" w:eastAsia="仿宋"/>
          <w:sz w:val="32"/>
          <w:szCs w:val="32"/>
        </w:rPr>
        <w:t>，0574-87600973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本次专家推荐工作不属于评奖、评优或专家资质认定范畴，不发放聘书，不发文公布专家名单。下一步，将根据工作安排邀请专家参与相关工作，并适时组织开展有关交流、研讨、培训等活动。</w:t>
      </w:r>
      <w:r>
        <w:rPr>
          <w:rFonts w:hint="eastAsia" w:ascii="Times New Roman" w:hAnsi="Times New Roman" w:eastAsia="仿宋"/>
          <w:sz w:val="32"/>
          <w:szCs w:val="32"/>
        </w:rPr>
        <w:br w:type="page"/>
      </w:r>
    </w:p>
    <w:p>
      <w:pPr>
        <w:spacing w:line="560" w:lineRule="exact"/>
        <w:rPr>
          <w:rFonts w:ascii="Times New Roman" w:hAnsi="Times New Roman" w:eastAsia="黑体" w:cs="仿宋"/>
          <w:sz w:val="32"/>
          <w:szCs w:val="32"/>
        </w:rPr>
      </w:pPr>
      <w:r>
        <w:rPr>
          <w:rFonts w:hint="eastAsia" w:ascii="Times New Roman" w:hAnsi="Times New Roman" w:eastAsia="黑体" w:cs="仿宋"/>
          <w:sz w:val="32"/>
          <w:szCs w:val="32"/>
        </w:rPr>
        <w:t>附件</w:t>
      </w:r>
      <w:r>
        <w:rPr>
          <w:rFonts w:ascii="Times New Roman" w:hAnsi="Times New Roman" w:eastAsia="黑体" w:cs="仿宋"/>
          <w:sz w:val="32"/>
          <w:szCs w:val="32"/>
        </w:rPr>
        <w:t>5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</w:rPr>
        <w:t>浙江省大学生金融创新大赛专家库推荐表</w:t>
      </w:r>
    </w:p>
    <w:p>
      <w:pPr>
        <w:tabs>
          <w:tab w:val="left" w:pos="7380"/>
          <w:tab w:val="left" w:pos="7560"/>
        </w:tabs>
        <w:spacing w:before="156" w:beforeLines="50" w:after="156" w:afterLines="50" w:line="400" w:lineRule="exact"/>
        <w:ind w:firstLine="894" w:firstLineChars="254"/>
        <w:jc w:val="center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pacing w:val="16"/>
          <w:sz w:val="32"/>
          <w:szCs w:val="32"/>
        </w:rPr>
        <w:t>填表日期：    年   月  日</w:t>
      </w:r>
    </w:p>
    <w:tbl>
      <w:tblPr>
        <w:tblStyle w:val="5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288"/>
        <w:gridCol w:w="555"/>
        <w:gridCol w:w="992"/>
        <w:gridCol w:w="567"/>
        <w:gridCol w:w="2206"/>
        <w:gridCol w:w="1276"/>
        <w:gridCol w:w="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姓  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民族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性  别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政治面貌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</w:tc>
        <w:tc>
          <w:tcPr>
            <w:tcW w:w="16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专业职务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行政职务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</w:tc>
        <w:tc>
          <w:tcPr>
            <w:tcW w:w="16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办公电话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手机号码</w:t>
            </w: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最后学位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最后学历</w:t>
            </w: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工作单位</w:t>
            </w:r>
          </w:p>
        </w:tc>
        <w:tc>
          <w:tcPr>
            <w:tcW w:w="72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800" w:firstLineChars="250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邮政编码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通讯地址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电子邮箱</w:t>
            </w:r>
          </w:p>
        </w:tc>
        <w:tc>
          <w:tcPr>
            <w:tcW w:w="72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申请类型</w:t>
            </w:r>
          </w:p>
        </w:tc>
        <w:tc>
          <w:tcPr>
            <w:tcW w:w="72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8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身份证号</w:t>
            </w:r>
          </w:p>
        </w:tc>
        <w:tc>
          <w:tcPr>
            <w:tcW w:w="7232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160" w:firstLineChars="50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开户行</w:t>
            </w:r>
          </w:p>
        </w:tc>
        <w:tc>
          <w:tcPr>
            <w:tcW w:w="72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160" w:firstLineChars="50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8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银行卡号</w:t>
            </w:r>
          </w:p>
        </w:tc>
        <w:tc>
          <w:tcPr>
            <w:tcW w:w="72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160" w:firstLineChars="50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</w:trPr>
        <w:tc>
          <w:tcPr>
            <w:tcW w:w="15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32"/>
                <w:szCs w:val="32"/>
              </w:rPr>
              <w:t>个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32"/>
                <w:szCs w:val="32"/>
              </w:rPr>
              <w:t>人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32"/>
                <w:szCs w:val="32"/>
              </w:rPr>
              <w:t>情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32"/>
                <w:szCs w:val="32"/>
              </w:rPr>
              <w:t>况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32"/>
                <w:szCs w:val="32"/>
              </w:rPr>
              <w:t>简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32"/>
                <w:szCs w:val="32"/>
              </w:rPr>
              <w:t>介</w:t>
            </w:r>
          </w:p>
        </w:tc>
        <w:tc>
          <w:tcPr>
            <w:tcW w:w="7232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480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  <w:p>
            <w:pPr>
              <w:spacing w:line="560" w:lineRule="exact"/>
              <w:ind w:firstLine="480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  <w:p>
            <w:pPr>
              <w:spacing w:line="560" w:lineRule="exact"/>
              <w:ind w:firstLine="480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  <w:p>
            <w:pPr>
              <w:spacing w:line="560" w:lineRule="exact"/>
              <w:ind w:firstLine="480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  <w:p>
            <w:pPr>
              <w:spacing w:line="560" w:lineRule="exact"/>
              <w:ind w:firstLine="480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  <w:p>
            <w:pPr>
              <w:spacing w:line="560" w:lineRule="exact"/>
              <w:ind w:firstLine="480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8" w:type="dxa"/>
          <w:trHeight w:val="4506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32"/>
                <w:szCs w:val="32"/>
              </w:rPr>
              <w:t>单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/>
                <w:bCs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32"/>
                <w:szCs w:val="32"/>
              </w:rPr>
              <w:t>位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/>
                <w:bCs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32"/>
                <w:szCs w:val="32"/>
              </w:rPr>
              <w:t>意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/>
                <w:bCs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32"/>
                <w:szCs w:val="32"/>
              </w:rPr>
              <w:t>见</w:t>
            </w:r>
          </w:p>
        </w:tc>
        <w:tc>
          <w:tcPr>
            <w:tcW w:w="6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 xml:space="preserve">              同意申报</w:t>
            </w:r>
          </w:p>
          <w:p>
            <w:pPr>
              <w:spacing w:line="560" w:lineRule="exact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  <w:p>
            <w:pPr>
              <w:spacing w:line="560" w:lineRule="exact"/>
              <w:ind w:firstLine="1120" w:firstLineChars="350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  <w:p>
            <w:pPr>
              <w:spacing w:line="560" w:lineRule="exact"/>
              <w:ind w:firstLine="1120" w:firstLineChars="350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 xml:space="preserve">单位公章：                </w:t>
            </w:r>
          </w:p>
          <w:p>
            <w:pPr>
              <w:spacing w:line="560" w:lineRule="exact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  <w:p>
            <w:pPr>
              <w:spacing w:line="560" w:lineRule="exact"/>
              <w:ind w:firstLine="5280" w:firstLineChars="1650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  <w:p>
            <w:pPr>
              <w:spacing w:line="560" w:lineRule="exact"/>
              <w:ind w:firstLine="3840" w:firstLineChars="1200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负责人签字：</w:t>
            </w:r>
          </w:p>
          <w:p>
            <w:pPr>
              <w:spacing w:line="560" w:lineRule="exact"/>
              <w:ind w:firstLine="4800" w:firstLineChars="1500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  <w:p>
            <w:pPr>
              <w:spacing w:line="560" w:lineRule="exact"/>
              <w:ind w:firstLine="4160" w:firstLineChars="1300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8" w:type="dxa"/>
          <w:trHeight w:val="5285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32"/>
                <w:szCs w:val="32"/>
              </w:rPr>
              <w:t>竞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32"/>
                <w:szCs w:val="32"/>
              </w:rPr>
              <w:t>赛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32"/>
                <w:szCs w:val="32"/>
              </w:rPr>
              <w:t>委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32"/>
                <w:szCs w:val="32"/>
              </w:rPr>
              <w:t>员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32"/>
                <w:szCs w:val="32"/>
              </w:rPr>
              <w:t>会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32"/>
                <w:szCs w:val="32"/>
              </w:rPr>
              <w:t>意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32"/>
                <w:szCs w:val="32"/>
              </w:rPr>
              <w:t>见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6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 xml:space="preserve">                         </w:t>
            </w:r>
          </w:p>
          <w:p>
            <w:pPr>
              <w:spacing w:line="560" w:lineRule="exact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  <w:p>
            <w:pPr>
              <w:spacing w:line="560" w:lineRule="exact"/>
              <w:ind w:firstLine="4096" w:firstLineChars="1280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签字：</w:t>
            </w:r>
          </w:p>
          <w:p>
            <w:pPr>
              <w:spacing w:line="560" w:lineRule="exact"/>
              <w:ind w:firstLine="5120" w:firstLineChars="1600"/>
              <w:rPr>
                <w:rFonts w:ascii="Times New Roman" w:hAnsi="Times New Roman" w:eastAsia="仿宋" w:cs="仿宋"/>
                <w:sz w:val="32"/>
                <w:szCs w:val="32"/>
              </w:rPr>
            </w:pPr>
          </w:p>
          <w:p>
            <w:pPr>
              <w:spacing w:line="560" w:lineRule="exact"/>
              <w:ind w:right="525" w:rightChars="250"/>
              <w:jc w:val="right"/>
              <w:rPr>
                <w:rFonts w:ascii="Times New Roman" w:hAnsi="Times New Roman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年   月    日</w:t>
            </w:r>
          </w:p>
        </w:tc>
      </w:tr>
    </w:tbl>
    <w:p>
      <w:pPr>
        <w:spacing w:line="560" w:lineRule="exact"/>
        <w:rPr>
          <w:rFonts w:ascii="Times New Roman" w:hAnsi="Times New Roman" w:eastAsia="黑体" w:cs="仿宋"/>
          <w:sz w:val="32"/>
          <w:szCs w:val="32"/>
        </w:rPr>
      </w:pPr>
      <w:r>
        <w:rPr>
          <w:rFonts w:hint="eastAsia" w:ascii="Times New Roman" w:hAnsi="Times New Roman" w:eastAsia="黑体" w:cs="仿宋"/>
          <w:sz w:val="32"/>
          <w:szCs w:val="32"/>
        </w:rPr>
        <w:t>附件</w:t>
      </w:r>
      <w:r>
        <w:rPr>
          <w:rFonts w:ascii="Times New Roman" w:hAnsi="Times New Roman" w:eastAsia="黑体" w:cs="仿宋"/>
          <w:sz w:val="32"/>
          <w:szCs w:val="32"/>
        </w:rPr>
        <w:t>6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</w:rPr>
      </w:pPr>
      <w:r>
        <w:rPr>
          <w:rFonts w:ascii="Times New Roman" w:hAnsi="Times New Roman" w:eastAsia="方正小标宋简体" w:cs="Times New Roman"/>
          <w:bCs/>
          <w:sz w:val="44"/>
        </w:rPr>
        <w:t>浙江省大学生</w:t>
      </w:r>
      <w:r>
        <w:rPr>
          <w:rFonts w:hint="eastAsia" w:ascii="Times New Roman" w:hAnsi="Times New Roman" w:eastAsia="方正小标宋简体" w:cs="Times New Roman"/>
          <w:bCs/>
          <w:sz w:val="44"/>
        </w:rPr>
        <w:t>金融创新大赛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</w:rPr>
      </w:pPr>
      <w:r>
        <w:rPr>
          <w:rFonts w:ascii="Times New Roman" w:hAnsi="Times New Roman" w:eastAsia="方正小标宋简体" w:cs="Times New Roman"/>
          <w:bCs/>
          <w:sz w:val="44"/>
        </w:rPr>
        <w:t>各</w:t>
      </w:r>
      <w:r>
        <w:rPr>
          <w:rFonts w:hint="eastAsia" w:ascii="Times New Roman" w:hAnsi="Times New Roman" w:eastAsia="方正小标宋简体" w:cs="Times New Roman"/>
          <w:bCs/>
          <w:sz w:val="44"/>
        </w:rPr>
        <w:t>参赛</w:t>
      </w:r>
      <w:r>
        <w:rPr>
          <w:rFonts w:ascii="Times New Roman" w:hAnsi="Times New Roman" w:eastAsia="方正小标宋简体" w:cs="Times New Roman"/>
          <w:bCs/>
          <w:sz w:val="44"/>
        </w:rPr>
        <w:t>高校竞赛负责人</w:t>
      </w:r>
      <w:r>
        <w:rPr>
          <w:rFonts w:hint="eastAsia" w:ascii="Times New Roman" w:hAnsi="Times New Roman" w:eastAsia="方正小标宋简体" w:cs="Times New Roman"/>
          <w:bCs/>
          <w:sz w:val="44"/>
        </w:rPr>
        <w:t>和联络人信息确认表</w:t>
      </w:r>
    </w:p>
    <w:tbl>
      <w:tblPr>
        <w:tblStyle w:val="5"/>
        <w:tblpPr w:leftFromText="180" w:rightFromText="180" w:vertAnchor="text" w:horzAnchor="margin" w:tblpXSpec="center" w:tblpY="216"/>
        <w:tblW w:w="909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418"/>
        <w:gridCol w:w="963"/>
        <w:gridCol w:w="1843"/>
        <w:gridCol w:w="1021"/>
        <w:gridCol w:w="20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学校名称</w:t>
            </w:r>
          </w:p>
        </w:tc>
        <w:tc>
          <w:tcPr>
            <w:tcW w:w="72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竞赛负责人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QQ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职</w:t>
            </w:r>
            <w:r>
              <w:rPr>
                <w:rFonts w:hint="eastAsia" w:ascii="Times New Roman" w:hAnsi="Times New Roman" w:eastAsia="仿宋"/>
                <w:kern w:val="0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Email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竞赛联络人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QQ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职</w:t>
            </w:r>
            <w:r>
              <w:rPr>
                <w:rFonts w:hint="eastAsia" w:ascii="Times New Roman" w:hAnsi="Times New Roman" w:eastAsia="仿宋"/>
                <w:kern w:val="0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Email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kern w:val="0"/>
                <w:sz w:val="32"/>
                <w:szCs w:val="32"/>
              </w:rPr>
              <w:t>邮寄联系人及详细</w:t>
            </w: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地址</w:t>
            </w:r>
          </w:p>
        </w:tc>
        <w:tc>
          <w:tcPr>
            <w:tcW w:w="72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邮政编码</w:t>
            </w:r>
          </w:p>
        </w:tc>
        <w:tc>
          <w:tcPr>
            <w:tcW w:w="72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负责人所在学院意见</w:t>
            </w:r>
          </w:p>
        </w:tc>
        <w:tc>
          <w:tcPr>
            <w:tcW w:w="72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00" w:lineRule="exact"/>
              <w:ind w:right="450" w:firstLine="600"/>
              <w:jc w:val="righ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 xml:space="preserve">           </w:t>
            </w:r>
          </w:p>
          <w:p>
            <w:pPr>
              <w:pStyle w:val="4"/>
              <w:spacing w:line="500" w:lineRule="exact"/>
              <w:ind w:right="1170" w:firstLine="600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学院分管领导签名：</w:t>
            </w:r>
          </w:p>
          <w:p>
            <w:pPr>
              <w:pStyle w:val="4"/>
              <w:spacing w:line="500" w:lineRule="exact"/>
              <w:ind w:right="690" w:firstLine="600"/>
              <w:jc w:val="righ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（盖章）</w:t>
            </w:r>
            <w:r>
              <w:rPr>
                <w:rFonts w:ascii="Times New Roman" w:hAnsi="Times New Roman" w:eastAsia="仿宋"/>
                <w:sz w:val="32"/>
                <w:szCs w:val="32"/>
              </w:rPr>
              <w:t xml:space="preserve">                                           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学校教务处意见</w:t>
            </w:r>
          </w:p>
        </w:tc>
        <w:tc>
          <w:tcPr>
            <w:tcW w:w="72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5866"/>
              </w:tabs>
              <w:spacing w:line="500" w:lineRule="exact"/>
              <w:ind w:right="1170" w:firstLine="2560" w:firstLineChars="80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pStyle w:val="4"/>
              <w:tabs>
                <w:tab w:val="left" w:pos="5866"/>
              </w:tabs>
              <w:spacing w:line="500" w:lineRule="exact"/>
              <w:ind w:right="1170" w:firstLine="2560" w:firstLineChars="800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教务处分管领导签名：</w:t>
            </w:r>
          </w:p>
          <w:p>
            <w:pPr>
              <w:pStyle w:val="4"/>
              <w:spacing w:line="500" w:lineRule="exact"/>
              <w:ind w:right="690" w:firstLine="600"/>
              <w:jc w:val="righ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（盖章）</w:t>
            </w:r>
          </w:p>
          <w:p>
            <w:pPr>
              <w:pStyle w:val="4"/>
              <w:spacing w:line="500" w:lineRule="exact"/>
              <w:ind w:right="330" w:firstLine="600"/>
              <w:jc w:val="righ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年  月  日</w:t>
            </w:r>
          </w:p>
        </w:tc>
      </w:tr>
    </w:tbl>
    <w:p>
      <w:pPr>
        <w:spacing w:line="560" w:lineRule="exact"/>
        <w:rPr>
          <w:rFonts w:ascii="Times New Roman" w:hAnsi="Times New Roman" w:eastAsia="仿宋" w:cstheme="minorEastAsia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备注：</w:t>
      </w:r>
      <w:r>
        <w:rPr>
          <w:rFonts w:ascii="Times New Roman" w:hAnsi="Times New Roman" w:eastAsia="仿宋"/>
          <w:sz w:val="32"/>
          <w:szCs w:val="32"/>
        </w:rPr>
        <w:t>请各高校准确且完整地填写以上信息确认表，打印盖章后，扫描件于</w:t>
      </w:r>
      <w:r>
        <w:rPr>
          <w:rFonts w:hint="eastAsia" w:ascii="Times New Roman" w:hAnsi="Times New Roman" w:eastAsia="仿宋"/>
          <w:sz w:val="32"/>
          <w:szCs w:val="32"/>
        </w:rPr>
        <w:t>202</w:t>
      </w:r>
      <w:r>
        <w:rPr>
          <w:rFonts w:ascii="Times New Roman" w:hAnsi="Times New Roman" w:eastAsia="仿宋"/>
          <w:sz w:val="32"/>
          <w:szCs w:val="32"/>
        </w:rPr>
        <w:t>3</w:t>
      </w:r>
      <w:r>
        <w:rPr>
          <w:rFonts w:hint="eastAsia" w:ascii="Times New Roman" w:hAnsi="Times New Roman" w:eastAsia="仿宋"/>
          <w:sz w:val="32"/>
          <w:szCs w:val="32"/>
        </w:rPr>
        <w:t>年</w:t>
      </w:r>
      <w:r>
        <w:rPr>
          <w:rFonts w:ascii="Times New Roman" w:hAnsi="Times New Roman" w:eastAsia="仿宋"/>
          <w:sz w:val="32"/>
          <w:szCs w:val="32"/>
        </w:rPr>
        <w:t>10月</w:t>
      </w:r>
      <w:r>
        <w:rPr>
          <w:rFonts w:hint="eastAsia" w:ascii="Times New Roman" w:hAnsi="Times New Roman" w:eastAsia="仿宋"/>
          <w:sz w:val="32"/>
          <w:szCs w:val="32"/>
        </w:rPr>
        <w:t>9</w:t>
      </w:r>
      <w:r>
        <w:rPr>
          <w:rFonts w:ascii="Times New Roman" w:hAnsi="Times New Roman" w:eastAsia="仿宋"/>
          <w:sz w:val="32"/>
          <w:szCs w:val="32"/>
        </w:rPr>
        <w:t>日前以电子邮件形式反馈至竞赛办公室邮箱jrcxds@</w:t>
      </w:r>
      <w:r>
        <w:rPr>
          <w:rFonts w:hint="eastAsia" w:ascii="Times New Roman" w:hAnsi="Times New Roman" w:eastAsia="仿宋"/>
          <w:sz w:val="32"/>
          <w:szCs w:val="32"/>
        </w:rPr>
        <w:t>nb</w:t>
      </w:r>
      <w:r>
        <w:rPr>
          <w:rFonts w:ascii="Times New Roman" w:hAnsi="Times New Roman" w:eastAsia="仿宋"/>
          <w:sz w:val="32"/>
          <w:szCs w:val="32"/>
        </w:rPr>
        <w:t>u.edu.cn。</w:t>
      </w:r>
      <w:r>
        <w:rPr>
          <w:rFonts w:hint="eastAsia" w:ascii="Times New Roman" w:hAnsi="Times New Roman" w:eastAsia="仿宋"/>
          <w:sz w:val="32"/>
          <w:szCs w:val="32"/>
        </w:rPr>
        <w:t>邮寄联系人及详细</w:t>
      </w:r>
      <w:r>
        <w:rPr>
          <w:rFonts w:ascii="Times New Roman" w:hAnsi="Times New Roman" w:eastAsia="仿宋"/>
          <w:sz w:val="32"/>
          <w:szCs w:val="32"/>
        </w:rPr>
        <w:t>地址</w:t>
      </w:r>
      <w:r>
        <w:rPr>
          <w:rFonts w:hint="eastAsia" w:ascii="Times New Roman" w:hAnsi="Times New Roman" w:eastAsia="仿宋"/>
          <w:sz w:val="32"/>
          <w:szCs w:val="32"/>
        </w:rPr>
        <w:t>务必填写完备，作为相关票据邮寄地址。</w:t>
      </w:r>
    </w:p>
    <w:p>
      <w:bookmarkStart w:id="2" w:name="_GoBack"/>
      <w:bookmarkEnd w:id="2"/>
    </w:p>
    <w:sectPr>
      <w:pgSz w:w="11906" w:h="16838"/>
      <w:pgMar w:top="2098" w:right="1474" w:bottom="1985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50C06"/>
    <w:rsid w:val="01002C8D"/>
    <w:rsid w:val="59450C06"/>
    <w:rsid w:val="67BB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qFormat/>
    <w:uiPriority w:val="0"/>
    <w:pPr>
      <w:widowControl w:val="0"/>
      <w:spacing w:after="120"/>
      <w:jc w:val="both"/>
    </w:pPr>
    <w:rPr>
      <w:rFonts w:asciiTheme="minorHAnsi" w:hAnsiTheme="minorHAnsi" w:eastAsiaTheme="minorEastAsia" w:cstheme="minorBidi"/>
      <w:kern w:val="2"/>
      <w:sz w:val="16"/>
      <w:szCs w:val="16"/>
      <w:lang w:val="en-US" w:eastAsia="zh-CN" w:bidi="ar-SA"/>
    </w:rPr>
  </w:style>
  <w:style w:type="paragraph" w:styleId="3">
    <w:name w:val="toc 1"/>
    <w:basedOn w:val="1"/>
    <w:next w:val="1"/>
    <w:uiPriority w:val="0"/>
    <w:pPr>
      <w:widowControl w:val="0"/>
      <w:tabs>
        <w:tab w:val="right" w:leader="dot" w:pos="7513"/>
      </w:tabs>
      <w:kinsoku/>
      <w:autoSpaceDE/>
      <w:autoSpaceDN/>
      <w:adjustRightInd/>
      <w:snapToGrid/>
      <w:spacing w:line="220" w:lineRule="atLeast"/>
      <w:textAlignment w:val="auto"/>
    </w:pPr>
    <w:rPr>
      <w:rFonts w:ascii="Times New Roman" w:hAnsi="Times New Roman" w:eastAsia="宋体" w:cs="Times New Roman"/>
      <w:snapToGrid/>
      <w:color w:val="auto"/>
      <w:sz w:val="24"/>
      <w:szCs w:val="44"/>
    </w:rPr>
  </w:style>
  <w:style w:type="paragraph" w:styleId="4">
    <w:name w:val="Normal (Web)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2023-06-19T05:11:00Z</dcterms:created>
  <dc:creator>东东</dc:creator>
  <cp:lastModifiedBy>东东</cp:lastModifiedBy>
  <dcterms:modified xsi:type="dcterms:W3CDTF">2023-06-19T05:14:20Z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